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F1F3D" w:val="clear"/>
            <w:tcMar>
              <w:top w:type="dxa" w:w="400"/>
              <w:left w:type="dxa" w:w="400"/>
              <w:bottom w:type="dxa" w:w="400"/>
              <w:right w:type="dxa" w:w="400"/>
            </w:tcMar>
          </w:tcPr>
          <w:p>
            <w:pPr>
              <w:spacing w:before="0" w:after="80"/>
            </w:pPr>
            <w:r>
              <w:rPr>
                <w:rFonts w:ascii="Arial" w:cs="Arial" w:eastAsia="Arial" w:hAnsi="Arial"/>
                <w:b/>
                <w:bCs/>
                <w:caps/>
                <w:color w:val="00A896"/>
                <w:sz w:val="18"/>
                <w:szCs w:val="18"/>
              </w:rPr>
              <w:t xml:space="preserve">AML/CTF PROGRAM</w:t>
            </w:r>
          </w:p>
          <w:p>
            <w:pPr>
              <w:spacing w:before="0" w:after="160"/>
            </w:pPr>
            <w:r>
              <w:rPr>
                <w:rFonts w:ascii="Arial" w:cs="Arial" w:eastAsia="Arial" w:hAnsi="Arial"/>
                <w:b/>
                <w:bCs/>
                <w:color w:val="FFFFFF"/>
                <w:sz w:val="36"/>
                <w:szCs w:val="36"/>
              </w:rPr>
              <w:t xml:space="preserve">Part A — General Program</w:t>
            </w:r>
          </w:p>
          <w:p>
            <w:pPr>
              <w:spacing w:before="0" w:after="40"/>
            </w:pPr>
            <w:r>
              <w:rPr>
                <w:rFonts w:ascii="Arial" w:cs="Arial" w:eastAsia="Arial" w:hAnsi="Arial"/>
                <w:color w:val="E0F7F4"/>
                <w:sz w:val="22"/>
                <w:szCs w:val="22"/>
              </w:rPr>
              <w:t xml:space="preserve">Governance Framework &amp; Compliance Obligations</w:t>
            </w:r>
          </w:p>
          <w:p>
            <w:pPr>
              <w:spacing w:before="160" w:after="0"/>
            </w:pPr>
            <w:r>
              <w:rPr>
                <w:rFonts w:ascii="Arial" w:cs="Arial" w:eastAsia="Arial" w:hAnsi="Arial"/>
                <w:i/>
                <w:iCs/>
                <w:color w:val="94A3B8"/>
                <w:sz w:val="16"/>
                <w:szCs w:val="16"/>
              </w:rPr>
              <w:t xml:space="preserve">Prepared under the Anti-Money Laundering and Counter-Terrorism Financing Act 2006 (Cth) as amended by the AML/CTF Amendment Act 2024</w:t>
            </w:r>
          </w:p>
        </w:tc>
      </w:tr>
    </w:tbl>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E0F7F4" w:val="clear"/>
            <w:tcMar>
              <w:top w:type="dxa" w:w="120"/>
              <w:left w:type="dxa" w:w="160"/>
              <w:bottom w:type="dxa" w:w="120"/>
              <w:right w:type="dxa" w:w="160"/>
            </w:tcMar>
          </w:tcPr>
          <w:p>
            <w:pPr>
              <w:spacing w:before="0" w:after="60"/>
            </w:pPr>
            <w:r>
              <w:rPr>
                <w:rFonts w:ascii="Arial" w:cs="Arial" w:eastAsia="Arial" w:hAnsi="Arial"/>
                <w:b/>
                <w:bCs/>
                <w:caps/>
                <w:color w:val="00A896"/>
                <w:sz w:val="18"/>
                <w:szCs w:val="18"/>
              </w:rPr>
              <w:t xml:space="preserve">Firm Details — Complete Before Use</w:t>
            </w:r>
          </w:p>
          <w:p>
            <w:pPr>
              <w:spacing w:before="40" w:after="40"/>
            </w:pPr>
            <w:r>
              <w:rPr>
                <w:rFonts w:ascii="Arial" w:cs="Arial" w:eastAsia="Arial" w:hAnsi="Arial"/>
                <w:color w:val="1A1A2E"/>
                <w:sz w:val="20"/>
                <w:szCs w:val="20"/>
              </w:rPr>
              <w:t xml:space="preserve">Replace all [bracketed fields] throughout this document with your firm's specific information.</w:t>
            </w:r>
          </w:p>
          <w:p>
            <w:pPr>
              <w:spacing w:before="40" w:after="40"/>
            </w:pPr>
            <w:r>
              <w:rPr>
                <w:rFonts w:ascii="Arial" w:cs="Arial" w:eastAsia="Arial" w:hAnsi="Arial"/>
                <w:color w:val="1A1A2E"/>
                <w:sz w:val="20"/>
                <w:szCs w:val="20"/>
              </w:rPr>
              <w:t xml:space="preserve">This document must be reviewed and approved by a senior manager before use.</w:t>
            </w:r>
          </w:p>
          <w:p>
            <w:pPr>
              <w:spacing w:before="40" w:after="40"/>
            </w:pPr>
            <w:r>
              <w:rPr>
                <w:rFonts w:ascii="Arial" w:hAnsi="Arial"/>
                <w:color w:val="1A1A2E"/>
                <w:sz w:val="20"/>
              </w:rPr>
              <w:t>This template is most suitable for sole practitioners and smaller firms where one person mainly manages AML/CTF compliance.</w:t>
            </w:r>
          </w:p>
        </w:tc>
      </w:tr>
    </w:tbl>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Firm / Practice Name</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[Full legal name of your accounting practice]</w:t>
            </w:r>
          </w:p>
        </w:tc>
      </w:tr>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ABN</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[Your ABN]</w:t>
            </w:r>
          </w:p>
        </w:tc>
      </w:tr>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Principal / Managing Partner</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[Full name]</w:t>
            </w:r>
          </w:p>
        </w:tc>
      </w:tr>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AML/CTF Compliance Officer (AMLCO)</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[Full name and title]</w:t>
            </w:r>
          </w:p>
        </w:tc>
      </w:tr>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Date of Adoption</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[DD/MM/YYYY]</w:t>
            </w:r>
          </w:p>
        </w:tc>
      </w:tr>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Version</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[e.g. Version 1.0]</w:t>
            </w:r>
          </w:p>
        </w:tc>
      </w:tr>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Date of Next Review</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[DD/MM/YYYY — recommended annually]</w:t>
            </w:r>
          </w:p>
        </w:tc>
      </w:tr>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Approved By</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[Senior manager name and signature]</w:t>
            </w:r>
          </w:p>
        </w:tc>
      </w:tr>
    </w:tbl>
    <w:p>
      <w:pPr>
        <w:spacing w:before="60" w:after="60"/>
      </w:pPr>
      <w:r>
        <w:t xml:space="preserve"/>
      </w:r>
    </w:p>
    <w:p>
      <w:pPr>
        <w:pBdr>
          <w:bottom w:val="single" w:color="00A896" w:sz="4" w:space="1"/>
        </w:pBdr>
        <w:spacing w:before="120" w:after="120"/>
      </w:pPr>
      <w:r>
        <w:t xml:space="preserve"/>
      </w:r>
    </w:p>
    <w:p>
      <w:pPr>
        <w:pStyle w:val="Heading1"/>
        <w:spacing w:before="320" w:after="120"/>
      </w:pPr>
      <w:r>
        <w:rPr>
          <w:rFonts w:ascii="Arial" w:cs="Arial" w:eastAsia="Arial" w:hAnsi="Arial"/>
          <w:b/>
          <w:bCs/>
          <w:color w:val="0F1F3D"/>
          <w:sz w:val="28"/>
          <w:szCs w:val="28"/>
        </w:rPr>
        <w:t xml:space="preserve">1. Introduction &amp; Purpose</w:t>
      </w:r>
    </w:p>
    <w:p>
      <w:pPr>
        <w:spacing w:before="60" w:after="100"/>
      </w:pPr>
      <w:r>
        <w:rPr>
          <w:rFonts w:ascii="Arial" w:cs="Arial" w:eastAsia="Arial" w:hAnsi="Arial"/>
          <w:color w:val="1A1A2E"/>
          <w:sz w:val="20"/>
          <w:szCs w:val="20"/>
        </w:rPr>
        <w:t xml:space="preserve">[Firm Name] (ABN [ABN]) is a reporting entity under the Anti-Money Laundering and Counter-Terrorism Financing Act 2006 (Cth) (the Act) as amended by the AML/CTF Amendment Act 2024 (Tranche 2 reforms).</w:t>
      </w:r>
    </w:p>
    <w:p>
      <w:pPr>
        <w:spacing w:before="60" w:after="60"/>
      </w:pPr>
      <w:r>
        <w:t xml:space="preserve"/>
      </w:r>
    </w:p>
    <w:p>
      <w:pPr>
        <w:spacing w:before="60" w:after="100"/>
      </w:pPr>
      <w:r>
        <w:rPr>
          <w:rFonts w:ascii="Arial" w:cs="Arial" w:eastAsia="Arial" w:hAnsi="Arial"/>
          <w:color w:val="1A1A2E"/>
          <w:sz w:val="20"/>
          <w:szCs w:val="20"/>
        </w:rPr>
        <w:t xml:space="preserve">This document constitutes Part A of our AML/CTF Program (the Program). It sets out the governance framework, risk appetite, compliance obligations and internal controls that govern our approach to anti-money laundering, counter-terrorism financing and proliferation financing (ML/TF/PF) obligations.</w:t>
      </w:r>
    </w:p>
    <w:p>
      <w:pPr>
        <w:spacing w:before="60" w:after="60"/>
      </w:pPr>
      <w:r>
        <w:t xml:space="preserve"/>
      </w:r>
    </w:p>
    <w:p>
      <w:pPr>
        <w:spacing w:before="60" w:after="100"/>
      </w:pPr>
      <w:r>
        <w:rPr>
          <w:rFonts w:ascii="Arial" w:cs="Arial" w:eastAsia="Arial" w:hAnsi="Arial"/>
          <w:color w:val="1A1A2E"/>
          <w:sz w:val="20"/>
          <w:szCs w:val="20"/>
        </w:rPr>
        <w:t xml:space="preserve">This Program applies to all partners, directors, employees, contractors and agents of [Firm Name] who are involved in the provision of designated services.</w:t>
      </w:r>
    </w:p>
    <w:p>
      <w:pPr>
        <w:spacing w:before="60" w:after="60"/>
      </w:pPr>
      <w:r>
        <w:t xml:space="preserve"/>
      </w:r>
    </w:p>
    <w:p>
      <w:pPr>
        <w:pStyle w:val="Heading2"/>
        <w:spacing w:before="240" w:after="80"/>
      </w:pPr>
      <w:r>
        <w:rPr>
          <w:rFonts w:ascii="Arial" w:cs="Arial" w:eastAsia="Arial" w:hAnsi="Arial"/>
          <w:b/>
          <w:bCs/>
          <w:color w:val="0F1F3D"/>
          <w:sz w:val="24"/>
          <w:szCs w:val="24"/>
        </w:rPr>
        <w:t xml:space="preserve">1.1 Designated Services</w:t>
      </w:r>
    </w:p>
    <w:p>
      <w:pPr>
        <w:spacing w:before="60" w:after="100"/>
      </w:pPr>
      <w:r>
        <w:rPr>
          <w:rFonts w:ascii="Arial" w:cs="Arial" w:eastAsia="Arial" w:hAnsi="Arial"/>
          <w:color w:val="1A1A2E"/>
          <w:sz w:val="20"/>
          <w:szCs w:val="20"/>
        </w:rPr>
        <w:t xml:space="preserve">Under Table 6 of the Act, [Firm Name] provides the following designated services:</w:t>
      </w:r>
    </w:p>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Designated Service 1</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[e.g. Receiving, holding, controlling or managing client funds or property]</w:t>
            </w:r>
          </w:p>
        </w:tc>
      </w:tr>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Designated Service 2</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[e.g. Assisting with creation or restructuring of a body corporate or legal arrangement]</w:t>
            </w:r>
          </w:p>
        </w:tc>
      </w:tr>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Designated Service 3</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[Add or remove rows as required]</w:t>
            </w:r>
          </w:p>
        </w:tc>
      </w:tr>
    </w:tbl>
    <w:p>
      <w:pPr>
        <w:spacing w:before="60" w:after="60"/>
      </w:pPr>
      <w:r>
        <w:t xml:space="preserve"/>
      </w:r>
    </w:p>
    <w:p>
      <w:pPr>
        <w:pStyle w:val="Heading2"/>
        <w:spacing w:before="240" w:after="80"/>
      </w:pPr>
      <w:r>
        <w:rPr>
          <w:rFonts w:ascii="Arial" w:cs="Arial" w:eastAsia="Arial" w:hAnsi="Arial"/>
          <w:b/>
          <w:bCs/>
          <w:color w:val="0F1F3D"/>
          <w:sz w:val="24"/>
          <w:szCs w:val="24"/>
        </w:rPr>
        <w:t xml:space="preserve">1.2 Obligations Commencement</w:t>
      </w:r>
    </w:p>
    <w:p>
      <w:pPr>
        <w:spacing w:before="60" w:after="100"/>
      </w:pPr>
      <w:r>
        <w:rPr>
          <w:rFonts w:ascii="Arial" w:cs="Arial" w:eastAsia="Arial" w:hAnsi="Arial"/>
          <w:color w:val="1A1A2E"/>
          <w:sz w:val="20"/>
          <w:szCs w:val="20"/>
        </w:rPr>
        <w:t xml:space="preserve">AML/CTF obligations for accounting practices under Tranche 2 commence on 1 July 2026. All enrolment, program documentation, and initial compliance measures must be in place by this date.</w:t>
      </w:r>
    </w:p>
    <w:p>
      <w:pPr>
        <w:spacing w:before="60" w:after="60"/>
      </w:pPr>
      <w:r>
        <w:t xml:space="preserve"/>
      </w:r>
    </w:p>
    <w:p>
      <w:pPr>
        <w:pBdr>
          <w:bottom w:val="single" w:color="00A896" w:sz="4" w:space="1"/>
        </w:pBdr>
        <w:spacing w:before="120" w:after="120"/>
      </w:pPr>
      <w:r>
        <w:t xml:space="preserve"/>
      </w:r>
    </w:p>
    <w:p>
      <w:pPr>
        <w:pStyle w:val="Heading1"/>
        <w:spacing w:before="320" w:after="120"/>
      </w:pPr>
      <w:r>
        <w:rPr>
          <w:rFonts w:ascii="Arial" w:cs="Arial" w:eastAsia="Arial" w:hAnsi="Arial"/>
          <w:b/>
          <w:bCs/>
          <w:color w:val="0F1F3D"/>
          <w:sz w:val="28"/>
          <w:szCs w:val="28"/>
        </w:rPr>
        <w:t xml:space="preserve">2. Governance Framework</w:t>
      </w:r>
    </w:p>
    <w:p>
      <w:pPr>
        <w:pStyle w:val="Heading2"/>
        <w:spacing w:before="240" w:after="80"/>
      </w:pPr>
      <w:r>
        <w:rPr>
          <w:rFonts w:ascii="Arial" w:cs="Arial" w:eastAsia="Arial" w:hAnsi="Arial"/>
          <w:b/>
          <w:bCs/>
          <w:color w:val="0F1F3D"/>
          <w:sz w:val="24"/>
          <w:szCs w:val="24"/>
        </w:rPr>
        <w:t xml:space="preserve">2.1 Senior Management Commitment</w:t>
      </w:r>
    </w:p>
    <w:p>
      <w:pPr>
        <w:spacing w:before="60" w:after="100"/>
      </w:pPr>
      <w:r>
        <w:rPr>
          <w:rFonts w:ascii="Arial" w:cs="Arial" w:eastAsia="Arial" w:hAnsi="Arial"/>
          <w:color w:val="1A1A2E"/>
          <w:sz w:val="20"/>
          <w:szCs w:val="20"/>
        </w:rPr>
        <w:t xml:space="preserve">[Firm Name] is committed to full compliance with all AML/CTF obligations. The governing body of [Firm Name] has reviewed and approved this Program and is committed to providing the resources necessary for its effective implementation.</w:t>
      </w:r>
    </w:p>
    <w:p>
      <w:pPr>
        <w:spacing w:before="60" w:after="60"/>
      </w:pPr>
      <w:r>
        <w:t xml:space="preserve"/>
      </w:r>
    </w:p>
    <w:p>
      <w:pPr>
        <w:pStyle w:val="Heading2"/>
        <w:spacing w:before="240" w:after="80"/>
      </w:pPr>
      <w:r>
        <w:rPr>
          <w:rFonts w:ascii="Arial" w:cs="Arial" w:eastAsia="Arial" w:hAnsi="Arial"/>
          <w:b/>
          <w:bCs/>
          <w:color w:val="0F1F3D"/>
          <w:sz w:val="24"/>
          <w:szCs w:val="24"/>
        </w:rPr>
        <w:t xml:space="preserve">2.2 AML/CTF Compliance Officer</w:t>
      </w:r>
    </w:p>
    <w:p>
      <w:pPr>
        <w:spacing w:before="60" w:after="100"/>
      </w:pPr>
      <w:r>
        <w:rPr>
          <w:rFonts w:ascii="Arial" w:cs="Arial" w:eastAsia="Arial" w:hAnsi="Arial"/>
          <w:color w:val="1A1A2E"/>
          <w:sz w:val="20"/>
          <w:szCs w:val="20"/>
        </w:rPr>
        <w:t xml:space="preserve">The Board/Partners have appointed [AMLCO Name] as the AML/CTF Compliance Officer (AMLCO). The AMLCO is a senior manager who meets AUSTRAC's fit and proper person requirements.</w:t>
      </w:r>
    </w:p>
    <w:p>
      <w:pPr>
        <w:spacing w:before="60" w:after="60"/>
      </w:pPr>
      <w:r>
        <w:t xml:space="preserve"/>
      </w:r>
    </w:p>
    <w:p>
      <w:pPr>
        <w:spacing w:before="60" w:after="100"/>
      </w:pPr>
      <w:r>
        <w:rPr>
          <w:rFonts w:ascii="Arial" w:cs="Arial" w:eastAsia="Arial" w:hAnsi="Arial"/>
          <w:color w:val="1A1A2E"/>
          <w:sz w:val="20"/>
          <w:szCs w:val="20"/>
        </w:rPr>
        <w:t xml:space="preserve">The AMLCO is responsible for:</w:t>
      </w:r>
    </w:p>
    <w:p>
      <w:pPr>
        <w:pStyle w:val="ListParagraph"/>
        <w:numPr>
          <w:ilvl w:val="0"/>
          <w:numId w:val="2"/>
        </w:numPr>
        <w:spacing w:before="40" w:after="40"/>
      </w:pPr>
      <w:r>
        <w:rPr>
          <w:rFonts w:ascii="Arial" w:cs="Arial" w:eastAsia="Arial" w:hAnsi="Arial"/>
          <w:color w:val="1A1A2E"/>
          <w:sz w:val="20"/>
          <w:szCs w:val="20"/>
        </w:rPr>
        <w:t xml:space="preserve">Overseeing the implementation and maintenance of this Program</w:t>
      </w:r>
    </w:p>
    <w:p>
      <w:pPr>
        <w:pStyle w:val="ListParagraph"/>
        <w:numPr>
          <w:ilvl w:val="0"/>
          <w:numId w:val="2"/>
        </w:numPr>
        <w:spacing w:before="40" w:after="40"/>
      </w:pPr>
      <w:r>
        <w:rPr>
          <w:rFonts w:ascii="Arial" w:cs="Arial" w:eastAsia="Arial" w:hAnsi="Arial"/>
          <w:color w:val="1A1A2E"/>
          <w:sz w:val="20"/>
          <w:szCs w:val="20"/>
        </w:rPr>
        <w:t xml:space="preserve">Ensuring all staff are trained on AML/CTF obligations</w:t>
      </w:r>
    </w:p>
    <w:p>
      <w:pPr>
        <w:pStyle w:val="ListParagraph"/>
        <w:numPr>
          <w:ilvl w:val="0"/>
          <w:numId w:val="2"/>
        </w:numPr>
        <w:spacing w:before="40" w:after="40"/>
      </w:pPr>
      <w:r>
        <w:rPr>
          <w:rFonts w:ascii="Arial" w:cs="Arial" w:eastAsia="Arial" w:hAnsi="Arial"/>
          <w:color w:val="1A1A2E"/>
          <w:sz w:val="20"/>
          <w:szCs w:val="20"/>
        </w:rPr>
        <w:t xml:space="preserve">Reviewing and updating this Program at least annually</w:t>
      </w:r>
    </w:p>
    <w:p>
      <w:pPr>
        <w:pStyle w:val="ListParagraph"/>
        <w:numPr>
          <w:ilvl w:val="0"/>
          <w:numId w:val="2"/>
        </w:numPr>
        <w:spacing w:before="40" w:after="40"/>
      </w:pPr>
      <w:r>
        <w:rPr>
          <w:rFonts w:ascii="Arial" w:cs="Arial" w:eastAsia="Arial" w:hAnsi="Arial"/>
          <w:color w:val="1A1A2E"/>
          <w:sz w:val="20"/>
          <w:szCs w:val="20"/>
        </w:rPr>
        <w:t xml:space="preserve">Reporting to the governing body on AML/CTF compliance matters</w:t>
      </w:r>
    </w:p>
    <w:p>
      <w:pPr>
        <w:pStyle w:val="ListParagraph"/>
        <w:numPr>
          <w:ilvl w:val="0"/>
          <w:numId w:val="2"/>
        </w:numPr>
        <w:spacing w:before="40" w:after="40"/>
      </w:pPr>
      <w:r>
        <w:rPr>
          <w:rFonts w:ascii="Arial" w:cs="Arial" w:eastAsia="Arial" w:hAnsi="Arial"/>
          <w:color w:val="1A1A2E"/>
          <w:sz w:val="20"/>
          <w:szCs w:val="20"/>
        </w:rPr>
        <w:t xml:space="preserve">Liaising with AUSTRAC as the primary regulatory contact</w:t>
      </w:r>
    </w:p>
    <w:p>
      <w:pPr>
        <w:pStyle w:val="ListParagraph"/>
        <w:numPr>
          <w:ilvl w:val="0"/>
          <w:numId w:val="2"/>
        </w:numPr>
        <w:spacing w:before="40" w:after="40"/>
      </w:pPr>
      <w:r>
        <w:rPr>
          <w:rFonts w:ascii="Arial" w:cs="Arial" w:eastAsia="Arial" w:hAnsi="Arial"/>
          <w:color w:val="1A1A2E"/>
          <w:sz w:val="20"/>
          <w:szCs w:val="20"/>
        </w:rPr>
        <w:t xml:space="preserve">Approving suspicious matter reports (SMRs) before filing</w:t>
      </w:r>
    </w:p>
    <w:p>
      <w:pPr>
        <w:spacing w:before="60" w:after="60"/>
      </w:pPr>
      <w:r>
        <w:t xml:space="preserve"/>
      </w:r>
    </w:p>
    <w:p>
      <w:pPr>
        <w:pStyle w:val="Heading2"/>
        <w:spacing w:before="240" w:after="80"/>
      </w:pPr>
      <w:r>
        <w:rPr>
          <w:rFonts w:ascii="Arial" w:cs="Arial" w:eastAsia="Arial" w:hAnsi="Arial"/>
          <w:b/>
          <w:bCs/>
          <w:color w:val="0F1F3D"/>
          <w:sz w:val="24"/>
          <w:szCs w:val="24"/>
        </w:rPr>
        <w:t xml:space="preserve">2.3 Governing Body Responsibilities</w:t>
      </w:r>
    </w:p>
    <w:p>
      <w:pPr>
        <w:spacing w:before="60" w:after="100"/>
      </w:pPr>
      <w:r>
        <w:rPr>
          <w:rFonts w:ascii="Arial" w:cs="Arial" w:eastAsia="Arial" w:hAnsi="Arial"/>
          <w:color w:val="1A1A2E"/>
          <w:sz w:val="20"/>
          <w:szCs w:val="20"/>
        </w:rPr>
        <w:t xml:space="preserve">The governing body of [Firm Name] is responsible for:</w:t>
      </w:r>
    </w:p>
    <w:p>
      <w:pPr>
        <w:pStyle w:val="ListParagraph"/>
        <w:numPr>
          <w:ilvl w:val="0"/>
          <w:numId w:val="2"/>
        </w:numPr>
        <w:spacing w:before="40" w:after="40"/>
      </w:pPr>
      <w:r>
        <w:rPr>
          <w:rFonts w:ascii="Arial" w:cs="Arial" w:eastAsia="Arial" w:hAnsi="Arial"/>
          <w:color w:val="1A1A2E"/>
          <w:sz w:val="20"/>
          <w:szCs w:val="20"/>
        </w:rPr>
        <w:t xml:space="preserve">Approving this Program and any material amendments</w:t>
      </w:r>
    </w:p>
    <w:p>
      <w:pPr>
        <w:pStyle w:val="ListParagraph"/>
        <w:numPr>
          <w:ilvl w:val="0"/>
          <w:numId w:val="2"/>
        </w:numPr>
        <w:spacing w:before="40" w:after="40"/>
      </w:pPr>
      <w:r>
        <w:rPr>
          <w:rFonts w:ascii="Arial" w:cs="Arial" w:eastAsia="Arial" w:hAnsi="Arial"/>
          <w:color w:val="1A1A2E"/>
          <w:sz w:val="20"/>
          <w:szCs w:val="20"/>
        </w:rPr>
        <w:t xml:space="preserve">Receiving reports from the AMLCO on compliance matters</w:t>
      </w:r>
    </w:p>
    <w:p>
      <w:pPr>
        <w:pStyle w:val="ListParagraph"/>
        <w:numPr>
          <w:ilvl w:val="0"/>
          <w:numId w:val="2"/>
        </w:numPr>
        <w:spacing w:before="40" w:after="40"/>
      </w:pPr>
      <w:r>
        <w:rPr>
          <w:rFonts w:ascii="Arial" w:cs="Arial" w:eastAsia="Arial" w:hAnsi="Arial"/>
          <w:color w:val="1A1A2E"/>
          <w:sz w:val="20"/>
          <w:szCs w:val="20"/>
        </w:rPr>
        <w:t xml:space="preserve">Ensuring adequate resources are allocated to AML/CTF compliance</w:t>
      </w:r>
    </w:p>
    <w:p>
      <w:pPr>
        <w:pStyle w:val="ListParagraph"/>
        <w:numPr>
          <w:ilvl w:val="0"/>
          <w:numId w:val="2"/>
        </w:numPr>
        <w:spacing w:before="40" w:after="40"/>
      </w:pPr>
      <w:r>
        <w:rPr>
          <w:rFonts w:ascii="Arial" w:cs="Arial" w:eastAsia="Arial" w:hAnsi="Arial"/>
          <w:color w:val="1A1A2E"/>
          <w:sz w:val="20"/>
          <w:szCs w:val="20"/>
        </w:rPr>
        <w:t xml:space="preserve">Setting the firm's risk appetite for ML/TF/PF risk</w:t>
      </w:r>
    </w:p>
    <w:p>
      <w:pPr>
        <w:spacing w:before="60" w:after="60"/>
      </w:pPr>
      <w:r>
        <w:t xml:space="preserve"/>
      </w:r>
    </w:p>
    <w:p>
      <w:pPr>
        <w:pStyle w:val="Heading2"/>
        <w:spacing w:before="240" w:after="80"/>
      </w:pPr>
      <w:r>
        <w:rPr>
          <w:rFonts w:ascii="Arial" w:cs="Arial" w:eastAsia="Arial" w:hAnsi="Arial"/>
          <w:b/>
          <w:bCs/>
          <w:color w:val="0F1F3D"/>
          <w:sz w:val="24"/>
          <w:szCs w:val="24"/>
        </w:rPr>
        <w:t xml:space="preserve">2.4 Accountability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AMLCO</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[Name] — primary compliance accountability</w:t>
            </w:r>
          </w:p>
        </w:tc>
      </w:tr>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Reporting Officer</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[Name] — responsible for TTR and SMR filing</w:t>
            </w:r>
          </w:p>
        </w:tc>
      </w:tr>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Governing Body Approval</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[Name / Resolution reference]</w:t>
            </w:r>
          </w:p>
        </w:tc>
      </w:tr>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Date of Governing Body Notification</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[DD/MM/YYYY]</w:t>
            </w:r>
          </w:p>
        </w:tc>
      </w:tr>
    </w:tbl>
    <w:p>
      <w:pPr>
        <w:spacing w:before="60" w:after="60"/>
      </w:pPr>
      <w:r>
        <w:t xml:space="preserve"/>
      </w:r>
    </w:p>
    <w:p>
      <w:pPr>
        <w:pBdr>
          <w:bottom w:val="single" w:color="00A896" w:sz="4" w:space="1"/>
        </w:pBdr>
        <w:spacing w:before="120" w:after="120"/>
      </w:pPr>
      <w:r>
        <w:t xml:space="preserve"/>
      </w:r>
    </w:p>
    <w:p>
      <w:pPr>
        <w:pStyle w:val="Heading1"/>
        <w:spacing w:before="320" w:after="120"/>
      </w:pPr>
      <w:r>
        <w:rPr>
          <w:rFonts w:ascii="Arial" w:cs="Arial" w:eastAsia="Arial" w:hAnsi="Arial"/>
          <w:b/>
          <w:bCs/>
          <w:color w:val="0F1F3D"/>
          <w:sz w:val="28"/>
          <w:szCs w:val="28"/>
        </w:rPr>
        <w:t xml:space="preserve">3. Risk Appetite Statement</w:t>
      </w:r>
    </w:p>
    <w:p>
      <w:pPr>
        <w:pStyle w:val="Heading2"/>
        <w:spacing w:before="240" w:after="80"/>
      </w:pPr>
      <w:r>
        <w:rPr>
          <w:rFonts w:ascii="Arial" w:cs="Arial" w:eastAsia="Arial" w:hAnsi="Arial"/>
          <w:b/>
          <w:bCs/>
          <w:color w:val="0F1F3D"/>
          <w:sz w:val="24"/>
          <w:szCs w:val="24"/>
        </w:rPr>
        <w:t xml:space="preserve">3.1 Our Approach to ML/TF/PF Risk</w:t>
      </w:r>
    </w:p>
    <w:p>
      <w:pPr>
        <w:spacing w:before="60" w:after="100"/>
      </w:pPr>
      <w:r>
        <w:rPr>
          <w:rFonts w:ascii="Arial" w:cs="Arial" w:eastAsia="Arial" w:hAnsi="Arial"/>
          <w:color w:val="1A1A2E"/>
          <w:sz w:val="20"/>
          <w:szCs w:val="20"/>
        </w:rPr>
        <w:t xml:space="preserve">[Firm Name] takes a risk-based approach to AML/CTF compliance. We are committed to identifying, assessing and mitigating the risk that our services could be used for money laundering, terrorism financing or proliferation financing.</w:t>
      </w:r>
    </w:p>
    <w:p>
      <w:pPr>
        <w:spacing w:before="60" w:after="60"/>
      </w:pPr>
      <w:r>
        <w:t xml:space="preserve"/>
      </w:r>
    </w:p>
    <w:p>
      <w:pPr>
        <w:pStyle w:val="Heading2"/>
        <w:spacing w:before="240" w:after="80"/>
      </w:pPr>
      <w:r>
        <w:rPr>
          <w:rFonts w:ascii="Arial" w:cs="Arial" w:eastAsia="Arial" w:hAnsi="Arial"/>
          <w:b/>
          <w:bCs/>
          <w:color w:val="0F1F3D"/>
          <w:sz w:val="24"/>
          <w:szCs w:val="24"/>
        </w:rPr>
        <w:t xml:space="preserve">3.2 Services We Will Not Accept</w:t>
      </w:r>
    </w:p>
    <w:p>
      <w:pPr>
        <w:spacing w:before="60" w:after="100"/>
      </w:pPr>
      <w:r>
        <w:rPr>
          <w:rFonts w:ascii="Arial" w:cs="Arial" w:eastAsia="Arial" w:hAnsi="Arial"/>
          <w:color w:val="1A1A2E"/>
          <w:sz w:val="20"/>
          <w:szCs w:val="20"/>
        </w:rPr>
        <w:t xml:space="preserve">[Firm Name] will not provide designated services in the following circumstances:</w:t>
      </w:r>
    </w:p>
    <w:p>
      <w:pPr>
        <w:spacing w:before="60" w:after="60"/>
      </w:pPr>
      <w:r>
        <w:t xml:space="preserve"/>
      </w:r>
    </w:p>
    <w:p>
      <w:pPr>
        <w:spacing w:before="60" w:after="60"/>
      </w:pPr>
      <w:r>
        <w:rPr>
          <w:rFonts w:ascii="Arial" w:cs="Arial" w:eastAsia="Arial" w:hAnsi="Arial"/>
          <w:i/>
          <w:iCs/>
          <w:color w:val="475569"/>
          <w:sz w:val="20"/>
          <w:szCs w:val="20"/>
        </w:rPr>
        <w:t xml:space="preserve">[Complete the following with your firm's specific risk appetite — examples provided below as a starting point only. Delete or modify as appropriate for your practice.]</w:t>
      </w:r>
    </w:p>
    <w:p>
      <w:pPr>
        <w:spacing w:before="60" w:after="60"/>
      </w:pPr>
      <w:r>
        <w:t xml:space="preserve"/>
      </w:r>
    </w:p>
    <w:p>
      <w:pPr>
        <w:pStyle w:val="ListParagraph"/>
        <w:numPr>
          <w:ilvl w:val="0"/>
          <w:numId w:val="2"/>
        </w:numPr>
        <w:spacing w:before="40" w:after="40"/>
      </w:pPr>
      <w:r>
        <w:rPr>
          <w:rFonts w:ascii="Arial" w:cs="Arial" w:eastAsia="Arial" w:hAnsi="Arial"/>
          <w:color w:val="1A1A2E"/>
          <w:sz w:val="20"/>
          <w:szCs w:val="20"/>
        </w:rPr>
        <w:t xml:space="preserve">[We will not act for clients involving high-value physical currency transactions above $10,000 where the source of funds cannot be verified]</w:t>
      </w:r>
    </w:p>
    <w:p>
      <w:pPr>
        <w:pStyle w:val="ListParagraph"/>
        <w:numPr>
          <w:ilvl w:val="0"/>
          <w:numId w:val="2"/>
        </w:numPr>
        <w:spacing w:before="40" w:after="40"/>
      </w:pPr>
      <w:r>
        <w:rPr>
          <w:rFonts w:ascii="Arial" w:cs="Arial" w:eastAsia="Arial" w:hAnsi="Arial"/>
          <w:color w:val="1A1A2E"/>
          <w:sz w:val="20"/>
          <w:szCs w:val="20"/>
        </w:rPr>
        <w:t xml:space="preserve">[We will not assist with the creation of anonymous or nominee-controlled structures where the beneficial owner cannot be identified]</w:t>
      </w:r>
    </w:p>
    <w:p>
      <w:pPr>
        <w:pStyle w:val="ListParagraph"/>
        <w:numPr>
          <w:ilvl w:val="0"/>
          <w:numId w:val="2"/>
        </w:numPr>
        <w:spacing w:before="40" w:after="40"/>
      </w:pPr>
      <w:r>
        <w:rPr>
          <w:rFonts w:ascii="Arial" w:cs="Arial" w:eastAsia="Arial" w:hAnsi="Arial"/>
          <w:color w:val="1A1A2E"/>
          <w:sz w:val="20"/>
          <w:szCs w:val="20"/>
        </w:rPr>
        <w:t xml:space="preserve">[We will not provide services to clients subject to DFAT consolidated sanctions or UN Security Council sanctions]</w:t>
      </w:r>
    </w:p>
    <w:p>
      <w:pPr>
        <w:pStyle w:val="ListParagraph"/>
        <w:numPr>
          <w:ilvl w:val="0"/>
          <w:numId w:val="2"/>
        </w:numPr>
        <w:spacing w:before="40" w:after="40"/>
      </w:pPr>
      <w:r>
        <w:rPr>
          <w:rFonts w:ascii="Arial" w:cs="Arial" w:eastAsia="Arial" w:hAnsi="Arial"/>
          <w:color w:val="1A1A2E"/>
          <w:sz w:val="20"/>
          <w:szCs w:val="20"/>
        </w:rPr>
        <w:t xml:space="preserve">[We will not assist with transactions involving jurisdictions identified by FATF as high-risk or non-cooperative]</w:t>
      </w:r>
    </w:p>
    <w:p>
      <w:pPr>
        <w:pStyle w:val="ListParagraph"/>
        <w:numPr>
          <w:ilvl w:val="0"/>
          <w:numId w:val="2"/>
        </w:numPr>
        <w:spacing w:before="40" w:after="40"/>
      </w:pPr>
      <w:r>
        <w:rPr>
          <w:rFonts w:ascii="Arial" w:cs="Arial" w:eastAsia="Arial" w:hAnsi="Arial"/>
          <w:color w:val="1A1A2E"/>
          <w:sz w:val="20"/>
          <w:szCs w:val="20"/>
        </w:rPr>
        <w:t xml:space="preserve">[Add additional restrictions specific to your practice]</w:t>
      </w:r>
    </w:p>
    <w:p>
      <w:pPr>
        <w:spacing w:before="60" w:after="60"/>
      </w:pPr>
      <w:r>
        <w:t xml:space="preserve"/>
      </w:r>
    </w:p>
    <w:p>
      <w:pPr>
        <w:pStyle w:val="Heading2"/>
        <w:spacing w:before="240" w:after="80"/>
      </w:pPr>
      <w:r>
        <w:rPr>
          <w:rFonts w:ascii="Arial" w:cs="Arial" w:eastAsia="Arial" w:hAnsi="Arial"/>
          <w:b/>
          <w:bCs/>
          <w:color w:val="0F1F3D"/>
          <w:sz w:val="24"/>
          <w:szCs w:val="24"/>
        </w:rPr>
        <w:t xml:space="preserve">3.3 Proliferation Financing (PF) Statement</w:t>
      </w:r>
    </w:p>
    <w:p>
      <w:pPr>
        <w:spacing w:before="60" w:after="100"/>
      </w:pPr>
      <w:r>
        <w:rPr>
          <w:rFonts w:ascii="Arial" w:cs="Arial" w:eastAsia="Arial" w:hAnsi="Arial"/>
          <w:color w:val="1A1A2E"/>
          <w:sz w:val="20"/>
          <w:szCs w:val="20"/>
        </w:rPr>
        <w:t xml:space="preserve">[Firm Name] acknowledges its obligations in relation to proliferation financing under the reformed Act. We will not knowingly provide services to any person or entity involved in the proliferation of weapons of mass destruction.</w:t>
      </w:r>
    </w:p>
    <w:p>
      <w:pPr>
        <w:spacing w:before="60" w:after="60"/>
      </w:pPr>
      <w:r>
        <w:t xml:space="preserve"/>
      </w:r>
    </w:p>
    <w:p>
      <w:pPr>
        <w:spacing w:before="60" w:after="100"/>
      </w:pPr>
      <w:r>
        <w:rPr>
          <w:rFonts w:ascii="Arial" w:cs="Arial" w:eastAsia="Arial" w:hAnsi="Arial"/>
          <w:color w:val="1A1A2E"/>
          <w:sz w:val="20"/>
          <w:szCs w:val="20"/>
        </w:rPr>
        <w:t xml:space="preserve">All clients are screened against:</w:t>
      </w:r>
    </w:p>
    <w:p>
      <w:pPr>
        <w:pStyle w:val="ListParagraph"/>
        <w:numPr>
          <w:ilvl w:val="0"/>
          <w:numId w:val="2"/>
        </w:numPr>
        <w:spacing w:before="40" w:after="40"/>
      </w:pPr>
      <w:r>
        <w:rPr>
          <w:rFonts w:ascii="Arial" w:cs="Arial" w:eastAsia="Arial" w:hAnsi="Arial"/>
          <w:color w:val="1A1A2E"/>
          <w:sz w:val="20"/>
          <w:szCs w:val="20"/>
        </w:rPr>
        <w:t xml:space="preserve">DFAT Consolidated Sanctions List</w:t>
      </w:r>
    </w:p>
    <w:p>
      <w:pPr>
        <w:pStyle w:val="ListParagraph"/>
        <w:numPr>
          <w:ilvl w:val="0"/>
          <w:numId w:val="2"/>
        </w:numPr>
        <w:spacing w:before="40" w:after="40"/>
      </w:pPr>
      <w:r>
        <w:rPr>
          <w:rFonts w:ascii="Arial" w:cs="Arial" w:eastAsia="Arial" w:hAnsi="Arial"/>
          <w:color w:val="1A1A2E"/>
          <w:sz w:val="20"/>
          <w:szCs w:val="20"/>
        </w:rPr>
        <w:t xml:space="preserve">UN Security Council Consolidated List</w:t>
      </w:r>
    </w:p>
    <w:p>
      <w:pPr>
        <w:pStyle w:val="ListParagraph"/>
        <w:numPr>
          <w:ilvl w:val="0"/>
          <w:numId w:val="2"/>
        </w:numPr>
        <w:spacing w:before="40" w:after="40"/>
      </w:pPr>
      <w:r>
        <w:rPr>
          <w:rFonts w:ascii="Arial" w:cs="Arial" w:eastAsia="Arial" w:hAnsi="Arial"/>
          <w:color w:val="1A1A2E"/>
          <w:sz w:val="20"/>
          <w:szCs w:val="20"/>
        </w:rPr>
        <w:t xml:space="preserve">[OFAC SDN List — if you have international clients]</w:t>
      </w:r>
    </w:p>
    <w:p>
      <w:pPr>
        <w:spacing w:before="60" w:after="60"/>
      </w:pPr>
      <w:r>
        <w:t xml:space="preserve"/>
      </w:r>
    </w:p>
    <w:p>
      <w:pPr>
        <w:spacing w:before="60" w:after="60"/>
      </w:pPr>
      <w:r>
        <w:rPr>
          <w:rFonts w:ascii="Arial" w:cs="Arial" w:eastAsia="Arial" w:hAnsi="Arial"/>
          <w:i/>
          <w:iCs/>
          <w:color w:val="475569"/>
          <w:sz w:val="20"/>
          <w:szCs w:val="20"/>
        </w:rPr>
        <w:t xml:space="preserve">[Describe your firm's specific PF risk assessment and controls here. Reference your firm risk assessment document.]</w:t>
      </w:r>
    </w:p>
    <w:p>
      <w:pPr>
        <w:spacing w:before="60" w:after="60"/>
      </w:pPr>
      <w:r>
        <w:t xml:space="preserve"/>
      </w:r>
    </w:p>
    <w:p>
      <w:pPr>
        <w:pBdr>
          <w:bottom w:val="single" w:color="00A896" w:sz="4" w:space="1"/>
        </w:pBdr>
        <w:spacing w:before="120" w:after="120"/>
      </w:pPr>
      <w:r>
        <w:t xml:space="preserve"/>
      </w:r>
    </w:p>
    <w:p>
      <w:pPr>
        <w:pStyle w:val="Heading1"/>
        <w:spacing w:before="320" w:after="120"/>
      </w:pPr>
      <w:r>
        <w:rPr>
          <w:rFonts w:ascii="Arial" w:cs="Arial" w:eastAsia="Arial" w:hAnsi="Arial"/>
          <w:b/>
          <w:bCs/>
          <w:color w:val="0F1F3D"/>
          <w:sz w:val="28"/>
          <w:szCs w:val="28"/>
        </w:rPr>
        <w:t xml:space="preserve">4. Employee Due Diligence &amp; Training</w:t>
      </w:r>
    </w:p>
    <w:p>
      <w:pPr>
        <w:pStyle w:val="Heading2"/>
        <w:spacing w:before="240" w:after="80"/>
      </w:pPr>
      <w:r>
        <w:rPr>
          <w:rFonts w:ascii="Arial" w:cs="Arial" w:eastAsia="Arial" w:hAnsi="Arial"/>
          <w:b/>
          <w:bCs/>
          <w:color w:val="0F1F3D"/>
          <w:sz w:val="24"/>
          <w:szCs w:val="24"/>
        </w:rPr>
        <w:t xml:space="preserve">4.1 Personnel Due Diligence</w:t>
      </w:r>
    </w:p>
    <w:p>
      <w:pPr>
        <w:spacing w:before="60" w:after="100"/>
      </w:pPr>
      <w:r>
        <w:rPr>
          <w:rFonts w:ascii="Arial" w:cs="Arial" w:eastAsia="Arial" w:hAnsi="Arial"/>
          <w:color w:val="1A1A2E"/>
          <w:sz w:val="20"/>
          <w:szCs w:val="20"/>
        </w:rPr>
        <w:t xml:space="preserve">[Firm Name] conducts initial and ongoing personnel due diligence (PDD) for all staff involved in AML/CTF compliance functions. PDD is conducted before appointment and reviewed at least annually.</w:t>
      </w:r>
    </w:p>
    <w:p>
      <w:pPr>
        <w:spacing w:before="60" w:after="60"/>
      </w:pPr>
      <w:r>
        <w:t xml:space="preserve"/>
      </w:r>
    </w:p>
    <w:p>
      <w:pPr>
        <w:spacing w:before="60" w:after="100"/>
      </w:pPr>
      <w:r>
        <w:rPr>
          <w:rFonts w:ascii="Arial" w:cs="Arial" w:eastAsia="Arial" w:hAnsi="Arial"/>
          <w:color w:val="1A1A2E"/>
          <w:sz w:val="20"/>
          <w:szCs w:val="20"/>
        </w:rPr>
        <w:t xml:space="preserve">Initial PDD includes:</w:t>
      </w:r>
    </w:p>
    <w:p>
      <w:pPr>
        <w:pStyle w:val="ListParagraph"/>
        <w:numPr>
          <w:ilvl w:val="0"/>
          <w:numId w:val="2"/>
        </w:numPr>
        <w:spacing w:before="40" w:after="40"/>
      </w:pPr>
      <w:r>
        <w:rPr>
          <w:rFonts w:ascii="Arial" w:cs="Arial" w:eastAsia="Arial" w:hAnsi="Arial"/>
          <w:color w:val="1A1A2E"/>
          <w:sz w:val="20"/>
          <w:szCs w:val="20"/>
        </w:rPr>
        <w:t xml:space="preserve">Identity verification (DVS)</w:t>
      </w:r>
    </w:p>
    <w:p>
      <w:pPr>
        <w:pStyle w:val="ListParagraph"/>
        <w:numPr>
          <w:ilvl w:val="0"/>
          <w:numId w:val="2"/>
        </w:numPr>
        <w:spacing w:before="40" w:after="40"/>
      </w:pPr>
      <w:r>
        <w:rPr>
          <w:rFonts w:ascii="Arial" w:cs="Arial" w:eastAsia="Arial" w:hAnsi="Arial"/>
          <w:color w:val="1A1A2E"/>
          <w:sz w:val="20"/>
          <w:szCs w:val="20"/>
        </w:rPr>
        <w:t xml:space="preserve">Reference and background checks</w:t>
      </w:r>
    </w:p>
    <w:p>
      <w:pPr>
        <w:pStyle w:val="ListParagraph"/>
        <w:numPr>
          <w:ilvl w:val="0"/>
          <w:numId w:val="2"/>
        </w:numPr>
        <w:spacing w:before="40" w:after="40"/>
      </w:pPr>
      <w:r>
        <w:rPr>
          <w:rFonts w:ascii="Arial" w:cs="Arial" w:eastAsia="Arial" w:hAnsi="Arial"/>
          <w:color w:val="1A1A2E"/>
          <w:sz w:val="20"/>
          <w:szCs w:val="20"/>
        </w:rPr>
        <w:t xml:space="preserve">Sanctions and PEP screening</w:t>
      </w:r>
    </w:p>
    <w:p>
      <w:pPr>
        <w:pStyle w:val="ListParagraph"/>
        <w:numPr>
          <w:ilvl w:val="0"/>
          <w:numId w:val="2"/>
        </w:numPr>
        <w:spacing w:before="40" w:after="40"/>
      </w:pPr>
      <w:r>
        <w:rPr>
          <w:rFonts w:ascii="Arial" w:cs="Arial" w:eastAsia="Arial" w:hAnsi="Arial"/>
          <w:color w:val="1A1A2E"/>
          <w:sz w:val="20"/>
          <w:szCs w:val="20"/>
        </w:rPr>
        <w:t xml:space="preserve">Fit and proper assessment (for the AMLCO)</w:t>
      </w:r>
    </w:p>
    <w:p>
      <w:pPr>
        <w:spacing w:before="60" w:after="60"/>
      </w:pPr>
      <w:r>
        <w:t xml:space="preserve"/>
      </w:r>
    </w:p>
    <w:p>
      <w:pPr>
        <w:pStyle w:val="Heading2"/>
        <w:spacing w:before="240" w:after="80"/>
      </w:pPr>
      <w:r>
        <w:rPr>
          <w:rFonts w:ascii="Arial" w:cs="Arial" w:eastAsia="Arial" w:hAnsi="Arial"/>
          <w:b/>
          <w:bCs/>
          <w:color w:val="0F1F3D"/>
          <w:sz w:val="24"/>
          <w:szCs w:val="24"/>
        </w:rPr>
        <w:t xml:space="preserve">4.2 AML/CTF Training</w:t>
      </w:r>
    </w:p>
    <w:p>
      <w:pPr>
        <w:spacing w:before="60" w:after="100"/>
      </w:pPr>
      <w:r>
        <w:rPr>
          <w:rFonts w:ascii="Arial" w:cs="Arial" w:eastAsia="Arial" w:hAnsi="Arial"/>
          <w:color w:val="1A1A2E"/>
          <w:sz w:val="20"/>
          <w:szCs w:val="20"/>
        </w:rPr>
        <w:t xml:space="preserve">All relevant staff must complete AML/CTF training before providing designated services and annually thereafter. Training must cover:</w:t>
      </w:r>
    </w:p>
    <w:p>
      <w:pPr>
        <w:spacing w:before="60" w:after="60"/>
      </w:pPr>
      <w:r>
        <w:t xml:space="preserve"/>
      </w:r>
    </w:p>
    <w:p>
      <w:pPr>
        <w:pStyle w:val="ListParagraph"/>
        <w:numPr>
          <w:ilvl w:val="0"/>
          <w:numId w:val="2"/>
        </w:numPr>
        <w:spacing w:before="40" w:after="40"/>
      </w:pPr>
      <w:r>
        <w:rPr>
          <w:rFonts w:ascii="Arial" w:cs="Arial" w:eastAsia="Arial" w:hAnsi="Arial"/>
          <w:color w:val="1A1A2E"/>
          <w:sz w:val="20"/>
          <w:szCs w:val="20"/>
        </w:rPr>
        <w:t xml:space="preserve">The nature and consequences of ML/TF/PF</w:t>
      </w:r>
    </w:p>
    <w:p>
      <w:pPr>
        <w:pStyle w:val="ListParagraph"/>
        <w:numPr>
          <w:ilvl w:val="0"/>
          <w:numId w:val="2"/>
        </w:numPr>
        <w:spacing w:before="40" w:after="40"/>
      </w:pPr>
      <w:r>
        <w:rPr>
          <w:rFonts w:ascii="Arial" w:cs="Arial" w:eastAsia="Arial" w:hAnsi="Arial"/>
          <w:color w:val="1A1A2E"/>
          <w:sz w:val="20"/>
          <w:szCs w:val="20"/>
        </w:rPr>
        <w:t xml:space="preserve">Our AML/CTF Program, policies and procedures</w:t>
      </w:r>
    </w:p>
    <w:p>
      <w:pPr>
        <w:pStyle w:val="ListParagraph"/>
        <w:numPr>
          <w:ilvl w:val="0"/>
          <w:numId w:val="2"/>
        </w:numPr>
        <w:spacing w:before="40" w:after="40"/>
      </w:pPr>
      <w:r>
        <w:rPr>
          <w:rFonts w:ascii="Arial" w:cs="Arial" w:eastAsia="Arial" w:hAnsi="Arial"/>
          <w:color w:val="1A1A2E"/>
          <w:sz w:val="20"/>
          <w:szCs w:val="20"/>
        </w:rPr>
        <w:t xml:space="preserve">Customer due diligence (CDD) procedures and requirements</w:t>
      </w:r>
    </w:p>
    <w:p>
      <w:pPr>
        <w:pStyle w:val="ListParagraph"/>
        <w:numPr>
          <w:ilvl w:val="0"/>
          <w:numId w:val="2"/>
        </w:numPr>
        <w:spacing w:before="40" w:after="40"/>
      </w:pPr>
      <w:r>
        <w:rPr>
          <w:rFonts w:ascii="Arial" w:cs="Arial" w:eastAsia="Arial" w:hAnsi="Arial"/>
          <w:color w:val="1A1A2E"/>
          <w:sz w:val="20"/>
          <w:szCs w:val="20"/>
        </w:rPr>
        <w:t xml:space="preserve">How to identify and report suspicious matters</w:t>
      </w:r>
    </w:p>
    <w:p>
      <w:pPr>
        <w:pStyle w:val="ListParagraph"/>
        <w:numPr>
          <w:ilvl w:val="0"/>
          <w:numId w:val="2"/>
        </w:numPr>
        <w:spacing w:before="40" w:after="40"/>
      </w:pPr>
      <w:r>
        <w:rPr>
          <w:rFonts w:ascii="Arial" w:cs="Arial" w:eastAsia="Arial" w:hAnsi="Arial"/>
          <w:color w:val="1A1A2E"/>
          <w:sz w:val="20"/>
          <w:szCs w:val="20"/>
        </w:rPr>
        <w:t xml:space="preserve">Threshold transaction reporting (TTR) obligations</w:t>
      </w:r>
    </w:p>
    <w:p>
      <w:pPr>
        <w:pStyle w:val="ListParagraph"/>
        <w:numPr>
          <w:ilvl w:val="0"/>
          <w:numId w:val="2"/>
        </w:numPr>
        <w:spacing w:before="40" w:after="40"/>
      </w:pPr>
      <w:r>
        <w:rPr>
          <w:rFonts w:ascii="Arial" w:cs="Arial" w:eastAsia="Arial" w:hAnsi="Arial"/>
          <w:color w:val="1A1A2E"/>
          <w:sz w:val="20"/>
          <w:szCs w:val="20"/>
        </w:rPr>
        <w:t xml:space="preserve">The tipping-off prohibition</w:t>
      </w:r>
    </w:p>
    <w:p>
      <w:pPr>
        <w:pStyle w:val="ListParagraph"/>
        <w:numPr>
          <w:ilvl w:val="0"/>
          <w:numId w:val="2"/>
        </w:numPr>
        <w:spacing w:before="40" w:after="40"/>
      </w:pPr>
      <w:r>
        <w:rPr>
          <w:rFonts w:ascii="Arial" w:cs="Arial" w:eastAsia="Arial" w:hAnsi="Arial"/>
          <w:color w:val="1A1A2E"/>
          <w:sz w:val="20"/>
          <w:szCs w:val="20"/>
        </w:rPr>
        <w:t xml:space="preserve">High-risk jurisdictions and clients</w:t>
      </w:r>
    </w:p>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Training Provider</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[e.g. STEP Certificate in AML — simpleaml.com.au/training-providers]</w:t>
            </w:r>
          </w:p>
        </w:tc>
      </w:tr>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Training Frequency</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Annually — before 1 July each year</w:t>
            </w:r>
          </w:p>
        </w:tc>
      </w:tr>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Training Records</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Maintained in the SimpleAML Training Register</w:t>
            </w:r>
          </w:p>
        </w:tc>
      </w:tr>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Responsible Officer</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[AMLCO Name]</w:t>
            </w:r>
          </w:p>
        </w:tc>
      </w:tr>
    </w:tbl>
    <w:p>
      <w:pPr>
        <w:spacing w:before="60" w:after="60"/>
      </w:pPr>
      <w:r>
        <w:t xml:space="preserve"/>
      </w:r>
    </w:p>
    <w:p>
      <w:pPr>
        <w:pBdr>
          <w:bottom w:val="single" w:color="00A896" w:sz="4" w:space="1"/>
        </w:pBdr>
        <w:spacing w:before="120" w:after="120"/>
      </w:pPr>
      <w:r>
        <w:t xml:space="preserve"/>
      </w:r>
    </w:p>
    <w:p>
      <w:pPr>
        <w:pStyle w:val="Heading1"/>
        <w:spacing w:before="320" w:after="120"/>
      </w:pPr>
      <w:r>
        <w:rPr>
          <w:rFonts w:ascii="Arial" w:cs="Arial" w:eastAsia="Arial" w:hAnsi="Arial"/>
          <w:b/>
          <w:bCs/>
          <w:color w:val="0F1F3D"/>
          <w:sz w:val="28"/>
          <w:szCs w:val="28"/>
        </w:rPr>
        <w:t xml:space="preserve">5. Reporting Obligations</w:t>
      </w:r>
    </w:p>
    <w:p>
      <w:pPr>
        <w:pStyle w:val="Heading2"/>
        <w:spacing w:before="240" w:after="80"/>
      </w:pPr>
      <w:r>
        <w:rPr>
          <w:rFonts w:ascii="Arial" w:cs="Arial" w:eastAsia="Arial" w:hAnsi="Arial"/>
          <w:b/>
          <w:bCs/>
          <w:color w:val="0F1F3D"/>
          <w:sz w:val="24"/>
          <w:szCs w:val="24"/>
        </w:rPr>
        <w:t xml:space="preserve">5.1 Suspicious Matter Reports (SMRs)</w:t>
      </w:r>
    </w:p>
    <w:p>
      <w:pPr>
        <w:spacing w:before="60" w:after="100"/>
      </w:pPr>
      <w:r>
        <w:rPr>
          <w:rFonts w:ascii="Arial" w:cs="Arial" w:eastAsia="Arial" w:hAnsi="Arial"/>
          <w:color w:val="1A1A2E"/>
          <w:sz w:val="20"/>
          <w:szCs w:val="20"/>
        </w:rPr>
        <w:t xml:space="preserve">[Firm Name] will file a Suspicious Matter Report with AUSTRAC whenever there are reasonable grounds to suspect that a transaction or proposed transaction may be related to ML/TF/PF or another offence under Commonwealth, State or Territory law.</w:t>
      </w:r>
    </w:p>
    <w:p>
      <w:pPr>
        <w:spacing w:before="60" w:after="60"/>
      </w:pPr>
      <w:r>
        <w:t xml:space="preserve"/>
      </w:r>
    </w:p>
    <w:p>
      <w:pPr>
        <w:spacing w:before="60" w:after="100"/>
      </w:pPr>
      <w:r>
        <w:rPr>
          <w:rFonts w:ascii="Arial" w:cs="Arial" w:eastAsia="Arial" w:hAnsi="Arial"/>
          <w:color w:val="1A1A2E"/>
          <w:sz w:val="20"/>
          <w:szCs w:val="20"/>
        </w:rPr>
        <w:t xml:space="preserve">SMR procedure:</w:t>
      </w:r>
    </w:p>
    <w:p>
      <w:pPr>
        <w:pStyle w:val="ListParagraph"/>
        <w:numPr>
          <w:ilvl w:val="0"/>
          <w:numId w:val="2"/>
        </w:numPr>
        <w:spacing w:before="40" w:after="40"/>
      </w:pPr>
      <w:r>
        <w:rPr>
          <w:rFonts w:ascii="Arial" w:cs="Arial" w:eastAsia="Arial" w:hAnsi="Arial"/>
          <w:color w:val="1A1A2E"/>
          <w:sz w:val="20"/>
          <w:szCs w:val="20"/>
        </w:rPr>
        <w:t xml:space="preserve">The matter is identified by staff and escalated to the AMLCO immediately</w:t>
      </w:r>
    </w:p>
    <w:p>
      <w:pPr>
        <w:pStyle w:val="ListParagraph"/>
        <w:numPr>
          <w:ilvl w:val="0"/>
          <w:numId w:val="2"/>
        </w:numPr>
        <w:spacing w:before="40" w:after="40"/>
      </w:pPr>
      <w:r>
        <w:rPr>
          <w:rFonts w:ascii="Arial" w:cs="Arial" w:eastAsia="Arial" w:hAnsi="Arial"/>
          <w:color w:val="1A1A2E"/>
          <w:sz w:val="20"/>
          <w:szCs w:val="20"/>
        </w:rPr>
        <w:t xml:space="preserve">The AMLCO reviews the matter and determines whether an SMR is required</w:t>
      </w:r>
    </w:p>
    <w:p>
      <w:pPr>
        <w:pStyle w:val="ListParagraph"/>
        <w:numPr>
          <w:ilvl w:val="0"/>
          <w:numId w:val="2"/>
        </w:numPr>
        <w:spacing w:before="40" w:after="40"/>
      </w:pPr>
      <w:r>
        <w:rPr>
          <w:rFonts w:ascii="Arial" w:cs="Arial" w:eastAsia="Arial" w:hAnsi="Arial"/>
          <w:color w:val="1A1A2E"/>
          <w:sz w:val="20"/>
          <w:szCs w:val="20"/>
        </w:rPr>
        <w:t xml:space="preserve">If an SMR is required, it is filed with AUSTRAC within the required timeframe</w:t>
      </w:r>
    </w:p>
    <w:p>
      <w:pPr>
        <w:pStyle w:val="ListParagraph"/>
        <w:numPr>
          <w:ilvl w:val="0"/>
          <w:numId w:val="2"/>
        </w:numPr>
        <w:spacing w:before="40" w:after="40"/>
      </w:pPr>
      <w:r>
        <w:rPr>
          <w:rFonts w:ascii="Arial" w:cs="Arial" w:eastAsia="Arial" w:hAnsi="Arial"/>
          <w:color w:val="1A1A2E"/>
          <w:sz w:val="20"/>
          <w:szCs w:val="20"/>
        </w:rPr>
        <w:t xml:space="preserve">The filing is documented in the client's compliance record</w:t>
      </w:r>
    </w:p>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E0F7F4" w:val="clear"/>
            <w:tcMar>
              <w:top w:type="dxa" w:w="120"/>
              <w:left w:type="dxa" w:w="160"/>
              <w:bottom w:type="dxa" w:w="120"/>
              <w:right w:type="dxa" w:w="160"/>
            </w:tcMar>
          </w:tcPr>
          <w:p>
            <w:pPr>
              <w:spacing w:before="0" w:after="60"/>
            </w:pPr>
            <w:r>
              <w:rPr>
                <w:rFonts w:ascii="Arial" w:cs="Arial" w:eastAsia="Arial" w:hAnsi="Arial"/>
                <w:b/>
                <w:bCs/>
                <w:caps/>
                <w:color w:val="00A896"/>
                <w:sz w:val="18"/>
                <w:szCs w:val="18"/>
              </w:rPr>
              <w:t xml:space="preserve">Tipping-Off Prohibition — Critical</w:t>
            </w:r>
          </w:p>
          <w:p>
            <w:pPr>
              <w:spacing w:before="40" w:after="40"/>
            </w:pPr>
            <w:r>
              <w:rPr>
                <w:rFonts w:ascii="Arial" w:cs="Arial" w:eastAsia="Arial" w:hAnsi="Arial"/>
                <w:color w:val="1A1A2E"/>
                <w:sz w:val="20"/>
                <w:szCs w:val="20"/>
              </w:rPr>
              <w:t xml:space="preserve">It is a criminal offence under section 123 of the Act to disclose to a client that an SMR has been, is being, or may be filed in relation to them.</w:t>
            </w:r>
          </w:p>
          <w:p>
            <w:pPr>
              <w:spacing w:before="40" w:after="40"/>
            </w:pPr>
            <w:r>
              <w:rPr>
                <w:rFonts w:ascii="Arial" w:cs="Arial" w:eastAsia="Arial" w:hAnsi="Arial"/>
                <w:color w:val="1A1A2E"/>
                <w:sz w:val="20"/>
                <w:szCs w:val="20"/>
              </w:rPr>
              <w:t xml:space="preserve">All staff must be made aware of this prohibition. Any breach must be reported to the AMLCO immediately.</w:t>
            </w:r>
          </w:p>
          <w:p>
            <w:pPr>
              <w:spacing w:before="40" w:after="40"/>
            </w:pPr>
            <w:r>
              <w:rPr>
                <w:rFonts w:ascii="Arial" w:cs="Arial" w:eastAsia="Arial" w:hAnsi="Arial"/>
                <w:color w:val="1A1A2E"/>
                <w:sz w:val="20"/>
                <w:szCs w:val="20"/>
              </w:rPr>
              <w:t xml:space="preserve">Staff must not inform clients that their transactions are being monitored or that any report has been filed.</w:t>
            </w:r>
          </w:p>
        </w:tc>
      </w:tr>
    </w:tbl>
    <w:p>
      <w:pPr>
        <w:spacing w:before="60" w:after="60"/>
      </w:pPr>
      <w:r>
        <w:t xml:space="preserve"/>
      </w:r>
    </w:p>
    <w:p>
      <w:pPr>
        <w:pStyle w:val="Heading2"/>
        <w:spacing w:before="240" w:after="80"/>
      </w:pPr>
      <w:r>
        <w:rPr>
          <w:rFonts w:ascii="Arial" w:cs="Arial" w:eastAsia="Arial" w:hAnsi="Arial"/>
          <w:b/>
          <w:bCs/>
          <w:color w:val="0F1F3D"/>
          <w:sz w:val="24"/>
          <w:szCs w:val="24"/>
        </w:rPr>
        <w:t xml:space="preserve">5.2 Threshold Transaction Reports (TTRs)</w:t>
      </w:r>
    </w:p>
    <w:p>
      <w:pPr>
        <w:spacing w:before="60" w:after="100"/>
      </w:pPr>
      <w:r>
        <w:rPr>
          <w:rFonts w:ascii="Arial" w:cs="Arial" w:eastAsia="Arial" w:hAnsi="Arial"/>
          <w:color w:val="1A1A2E"/>
          <w:sz w:val="20"/>
          <w:szCs w:val="20"/>
        </w:rPr>
        <w:t xml:space="preserve">[Firm Name] will file a Threshold Transaction Report with AUSTRAC for any cash transaction (or series of related transactions) of AUD $10,000 or more. TTRs must be filed within 10 business days of the transaction.</w:t>
      </w:r>
    </w:p>
    <w:p>
      <w:pPr>
        <w:spacing w:before="60" w:after="60"/>
      </w:pPr>
      <w:r>
        <w:t xml:space="preserve"/>
      </w:r>
    </w:p>
    <w:p>
      <w:pPr>
        <w:pStyle w:val="Heading2"/>
        <w:spacing w:before="240" w:after="80"/>
      </w:pPr>
      <w:r>
        <w:rPr>
          <w:rFonts w:ascii="Arial" w:cs="Arial" w:eastAsia="Arial" w:hAnsi="Arial"/>
          <w:b/>
          <w:bCs/>
          <w:color w:val="0F1F3D"/>
          <w:sz w:val="24"/>
          <w:szCs w:val="24"/>
        </w:rPr>
        <w:t xml:space="preserve">5.3 AUSTRAC Enrolment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AUSTRAC Entity ID</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[Your AUSTRAC Entity ID once enrolled]</w:t>
            </w:r>
          </w:p>
        </w:tc>
      </w:tr>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Enrolment Date</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[DD/MM/YYYY]</w:t>
            </w:r>
          </w:p>
        </w:tc>
      </w:tr>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Enrolled By</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[Full name]</w:t>
            </w:r>
          </w:p>
        </w:tc>
      </w:tr>
      <w:tr>
        <w:tc>
          <w:tcPr>
            <w:tcW w:type="dxa" w:w="3000"/>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Annual Compliance Report Due</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[First report due in 2027]</w:t>
            </w:r>
          </w:p>
        </w:tc>
      </w:tr>
    </w:tbl>
    <w:p>
      <w:pPr>
        <w:spacing w:before="60" w:after="60"/>
      </w:pPr>
      <w:r>
        <w:t xml:space="preserve"/>
      </w:r>
    </w:p>
    <w:p>
      <w:pPr>
        <w:pBdr>
          <w:bottom w:val="single" w:color="00A896" w:sz="4" w:space="1"/>
        </w:pBdr>
        <w:spacing w:before="120" w:after="120"/>
      </w:pPr>
      <w:r>
        <w:t xml:space="preserve"/>
      </w:r>
    </w:p>
    <w:p>
      <w:pPr>
        <w:pStyle w:val="Heading1"/>
        <w:spacing w:before="320" w:after="120"/>
      </w:pPr>
      <w:r>
        <w:rPr>
          <w:rFonts w:ascii="Arial" w:cs="Arial" w:eastAsia="Arial" w:hAnsi="Arial"/>
          <w:b/>
          <w:bCs/>
          <w:color w:val="0F1F3D"/>
          <w:sz w:val="28"/>
          <w:szCs w:val="28"/>
        </w:rPr>
        <w:t xml:space="preserve">6. Record Keeping</w:t>
      </w:r>
    </w:p>
    <w:p>
      <w:pPr>
        <w:pStyle w:val="Heading2"/>
        <w:spacing w:before="240" w:after="80"/>
      </w:pPr>
      <w:r>
        <w:rPr>
          <w:rFonts w:ascii="Arial" w:cs="Arial" w:eastAsia="Arial" w:hAnsi="Arial"/>
          <w:b/>
          <w:bCs/>
          <w:color w:val="0F1F3D"/>
          <w:sz w:val="24"/>
          <w:szCs w:val="24"/>
        </w:rPr>
        <w:t xml:space="preserve">6.1 Retention Requirements</w:t>
      </w:r>
    </w:p>
    <w:p>
      <w:pPr>
        <w:spacing w:before="60" w:after="100"/>
      </w:pPr>
      <w:r>
        <w:rPr>
          <w:rFonts w:ascii="Arial" w:cs="Arial" w:eastAsia="Arial" w:hAnsi="Arial"/>
          <w:color w:val="1A1A2E"/>
          <w:sz w:val="20"/>
          <w:szCs w:val="20"/>
        </w:rPr>
        <w:t xml:space="preserve">Under the Act, [Firm Name] must retain all AML/CTF records for a minimum of 7 years from the date the record was made or the transaction was completed.</w:t>
      </w:r>
    </w:p>
    <w:p>
      <w:pPr>
        <w:spacing w:before="60" w:after="60"/>
      </w:pPr>
      <w:r>
        <w:t xml:space="preserve"/>
      </w:r>
    </w:p>
    <w:p>
      <w:pPr>
        <w:spacing w:before="60" w:after="100"/>
      </w:pPr>
      <w:r>
        <w:rPr>
          <w:rFonts w:ascii="Arial" w:cs="Arial" w:eastAsia="Arial" w:hAnsi="Arial"/>
          <w:color w:val="1A1A2E"/>
          <w:sz w:val="20"/>
          <w:szCs w:val="20"/>
        </w:rPr>
        <w:t xml:space="preserve">Records to be retained include:</w:t>
      </w:r>
    </w:p>
    <w:p>
      <w:pPr>
        <w:pStyle w:val="ListParagraph"/>
        <w:numPr>
          <w:ilvl w:val="0"/>
          <w:numId w:val="2"/>
        </w:numPr>
        <w:spacing w:before="40" w:after="40"/>
      </w:pPr>
      <w:r>
        <w:rPr>
          <w:rFonts w:ascii="Arial" w:cs="Arial" w:eastAsia="Arial" w:hAnsi="Arial"/>
          <w:color w:val="1A1A2E"/>
          <w:sz w:val="20"/>
          <w:szCs w:val="20"/>
        </w:rPr>
        <w:t xml:space="preserve">Customer identification and verification records (CDD)</w:t>
      </w:r>
    </w:p>
    <w:p>
      <w:pPr>
        <w:pStyle w:val="ListParagraph"/>
        <w:numPr>
          <w:ilvl w:val="0"/>
          <w:numId w:val="2"/>
        </w:numPr>
        <w:spacing w:before="40" w:after="40"/>
      </w:pPr>
      <w:r>
        <w:rPr>
          <w:rFonts w:ascii="Arial" w:cs="Arial" w:eastAsia="Arial" w:hAnsi="Arial"/>
          <w:color w:val="1A1A2E"/>
          <w:sz w:val="20"/>
          <w:szCs w:val="20"/>
        </w:rPr>
        <w:t xml:space="preserve">Transaction records</w:t>
      </w:r>
    </w:p>
    <w:p>
      <w:pPr>
        <w:pStyle w:val="ListParagraph"/>
        <w:numPr>
          <w:ilvl w:val="0"/>
          <w:numId w:val="2"/>
        </w:numPr>
        <w:spacing w:before="40" w:after="40"/>
      </w:pPr>
      <w:r>
        <w:rPr>
          <w:rFonts w:ascii="Arial" w:cs="Arial" w:eastAsia="Arial" w:hAnsi="Arial"/>
          <w:color w:val="1A1A2E"/>
          <w:sz w:val="20"/>
          <w:szCs w:val="20"/>
        </w:rPr>
        <w:t xml:space="preserve">AML/CTF Program documentation</w:t>
      </w:r>
    </w:p>
    <w:p>
      <w:pPr>
        <w:pStyle w:val="ListParagraph"/>
        <w:numPr>
          <w:ilvl w:val="0"/>
          <w:numId w:val="2"/>
        </w:numPr>
        <w:spacing w:before="40" w:after="40"/>
      </w:pPr>
      <w:r>
        <w:rPr>
          <w:rFonts w:ascii="Arial" w:cs="Arial" w:eastAsia="Arial" w:hAnsi="Arial"/>
          <w:color w:val="1A1A2E"/>
          <w:sz w:val="20"/>
          <w:szCs w:val="20"/>
        </w:rPr>
        <w:t xml:space="preserve">Training records</w:t>
      </w:r>
    </w:p>
    <w:p>
      <w:pPr>
        <w:pStyle w:val="ListParagraph"/>
        <w:numPr>
          <w:ilvl w:val="0"/>
          <w:numId w:val="2"/>
        </w:numPr>
        <w:spacing w:before="40" w:after="40"/>
      </w:pPr>
      <w:r>
        <w:rPr>
          <w:rFonts w:ascii="Arial" w:cs="Arial" w:eastAsia="Arial" w:hAnsi="Arial"/>
          <w:color w:val="1A1A2E"/>
          <w:sz w:val="20"/>
          <w:szCs w:val="20"/>
        </w:rPr>
        <w:t xml:space="preserve">SMR and TTR records</w:t>
      </w:r>
    </w:p>
    <w:p>
      <w:pPr>
        <w:pStyle w:val="ListParagraph"/>
        <w:numPr>
          <w:ilvl w:val="0"/>
          <w:numId w:val="2"/>
        </w:numPr>
        <w:spacing w:before="40" w:after="40"/>
      </w:pPr>
      <w:r>
        <w:rPr>
          <w:rFonts w:ascii="Arial" w:cs="Arial" w:eastAsia="Arial" w:hAnsi="Arial"/>
          <w:color w:val="1A1A2E"/>
          <w:sz w:val="20"/>
          <w:szCs w:val="20"/>
        </w:rPr>
        <w:t xml:space="preserve">Personnel due diligence records</w:t>
      </w:r>
    </w:p>
    <w:p>
      <w:pPr>
        <w:spacing w:before="60" w:after="60"/>
      </w:pPr>
      <w:r>
        <w:t xml:space="preserve"/>
      </w:r>
    </w:p>
    <w:p>
      <w:pPr>
        <w:pStyle w:val="Heading2"/>
        <w:spacing w:before="240" w:after="80"/>
      </w:pPr>
      <w:r>
        <w:rPr>
          <w:rFonts w:ascii="Arial" w:cs="Arial" w:eastAsia="Arial" w:hAnsi="Arial"/>
          <w:b/>
          <w:bCs/>
          <w:color w:val="0F1F3D"/>
          <w:sz w:val="24"/>
          <w:szCs w:val="24"/>
        </w:rPr>
        <w:t xml:space="preserve">6.2 Storage</w:t>
      </w:r>
    </w:p>
    <w:p>
      <w:pPr/>
      <w:r>
        <w:rPr>
          <w:rFonts w:ascii="Arial" w:hAnsi="Arial"/>
          <w:color w:val="1A1A2E"/>
          <w:sz w:val="20"/>
        </w:rPr>
        <w:t>[Firm Name] uses SimpleAML (simpleaml.com.au) to help keep AML/CTF records.</w:t>
      </w:r>
    </w:p>
    <w:p>
      <w:pPr/>
      <w:r>
        <w:rPr>
          <w:rFonts w:ascii="Arial" w:hAnsi="Arial"/>
          <w:color w:val="1A1A2E"/>
          <w:sz w:val="20"/>
        </w:rPr>
        <w:t>SimpleAML stores records locally in your browser on your device. It does not currently provide multi-user cloud sync. You should export and back up your records regularly.</w:t>
      </w:r>
    </w:p>
    <w:p>
      <w:pPr/>
      <w:r>
        <w:rPr>
          <w:rFonts w:ascii="Arial" w:hAnsi="Arial"/>
          <w:color w:val="1A1A2E"/>
          <w:sz w:val="20"/>
        </w:rPr>
        <w:t>If your firm uses a different record management system, update this section to reflect your actual recordkeeping process.</w:t>
      </w:r>
    </w:p>
    <w:p>
      <w:pPr>
        <w:spacing w:before="60" w:after="60"/>
      </w:pPr>
      <w:r>
        <w:t xml:space="preserve"/>
      </w:r>
    </w:p>
    <w:p>
      <w:pPr>
        <w:spacing w:before="60" w:after="60"/>
      </w:pPr>
      <w:r>
        <w:rPr>
          <w:rFonts w:ascii="Arial" w:cs="Arial" w:eastAsia="Arial" w:hAnsi="Arial"/>
          <w:i/>
          <w:iCs/>
          <w:color w:val="475569"/>
          <w:sz w:val="20"/>
          <w:szCs w:val="20"/>
        </w:rPr>
        <w:t xml:space="preserve">[Note: If you use a different record management system, update this section accordingly.]</w:t>
      </w:r>
    </w:p>
    <w:p>
      <w:pPr>
        <w:spacing w:before="60" w:after="60"/>
      </w:pPr>
      <w:r>
        <w:t xml:space="preserve"/>
      </w:r>
    </w:p>
    <w:p>
      <w:pPr>
        <w:pBdr>
          <w:bottom w:val="single" w:color="00A896" w:sz="4" w:space="1"/>
        </w:pBdr>
        <w:spacing w:before="120" w:after="120"/>
      </w:pPr>
      <w:r>
        <w:t xml:space="preserve"/>
      </w:r>
    </w:p>
    <w:p>
      <w:pPr>
        <w:pStyle w:val="Heading1"/>
        <w:spacing w:before="320" w:after="120"/>
      </w:pPr>
      <w:r>
        <w:rPr>
          <w:rFonts w:ascii="Arial" w:cs="Arial" w:eastAsia="Arial" w:hAnsi="Arial"/>
          <w:b/>
          <w:bCs/>
          <w:color w:val="0F1F3D"/>
          <w:sz w:val="28"/>
          <w:szCs w:val="28"/>
        </w:rPr>
        <w:t xml:space="preserve">7. Program Review &amp; Audit</w:t>
      </w:r>
    </w:p>
    <w:p>
      <w:pPr>
        <w:pStyle w:val="Heading2"/>
        <w:spacing w:before="240" w:after="80"/>
      </w:pPr>
      <w:r>
        <w:rPr>
          <w:rFonts w:ascii="Arial" w:cs="Arial" w:eastAsia="Arial" w:hAnsi="Arial"/>
          <w:b/>
          <w:bCs/>
          <w:color w:val="0F1F3D"/>
          <w:sz w:val="24"/>
          <w:szCs w:val="24"/>
        </w:rPr>
        <w:t xml:space="preserve">7.1 Annual Review</w:t>
      </w:r>
    </w:p>
    <w:p>
      <w:pPr>
        <w:spacing w:before="60" w:after="100"/>
      </w:pPr>
      <w:r>
        <w:rPr>
          <w:rFonts w:ascii="Arial" w:cs="Arial" w:eastAsia="Arial" w:hAnsi="Arial"/>
          <w:color w:val="1A1A2E"/>
          <w:sz w:val="20"/>
          <w:szCs w:val="20"/>
        </w:rPr>
        <w:t xml:space="preserve">This Program must be reviewed at least annually by the AMLCO and approved by the governing body. The review must consider:</w:t>
      </w:r>
    </w:p>
    <w:p>
      <w:pPr>
        <w:pStyle w:val="ListParagraph"/>
        <w:numPr>
          <w:ilvl w:val="0"/>
          <w:numId w:val="2"/>
        </w:numPr>
        <w:spacing w:before="40" w:after="40"/>
      </w:pPr>
      <w:r>
        <w:rPr>
          <w:rFonts w:ascii="Arial" w:cs="Arial" w:eastAsia="Arial" w:hAnsi="Arial"/>
          <w:color w:val="1A1A2E"/>
          <w:sz w:val="20"/>
          <w:szCs w:val="20"/>
        </w:rPr>
        <w:t xml:space="preserve">Any changes to the firm's designated services</w:t>
      </w:r>
    </w:p>
    <w:p>
      <w:pPr>
        <w:pStyle w:val="ListParagraph"/>
        <w:numPr>
          <w:ilvl w:val="0"/>
          <w:numId w:val="2"/>
        </w:numPr>
        <w:spacing w:before="40" w:after="40"/>
      </w:pPr>
      <w:r>
        <w:rPr>
          <w:rFonts w:ascii="Arial" w:cs="Arial" w:eastAsia="Arial" w:hAnsi="Arial"/>
          <w:color w:val="1A1A2E"/>
          <w:sz w:val="20"/>
          <w:szCs w:val="20"/>
        </w:rPr>
        <w:t xml:space="preserve">Any changes to the regulatory environment</w:t>
      </w:r>
    </w:p>
    <w:p>
      <w:pPr>
        <w:pStyle w:val="ListParagraph"/>
        <w:numPr>
          <w:ilvl w:val="0"/>
          <w:numId w:val="2"/>
        </w:numPr>
        <w:spacing w:before="40" w:after="40"/>
      </w:pPr>
      <w:r>
        <w:rPr>
          <w:rFonts w:ascii="Arial" w:cs="Arial" w:eastAsia="Arial" w:hAnsi="Arial"/>
          <w:color w:val="1A1A2E"/>
          <w:sz w:val="20"/>
          <w:szCs w:val="20"/>
        </w:rPr>
        <w:t xml:space="preserve">Outcomes of any AUSTRAC engagement or audit</w:t>
      </w:r>
    </w:p>
    <w:p>
      <w:pPr>
        <w:pStyle w:val="ListParagraph"/>
        <w:numPr>
          <w:ilvl w:val="0"/>
          <w:numId w:val="2"/>
        </w:numPr>
        <w:spacing w:before="40" w:after="40"/>
      </w:pPr>
      <w:r>
        <w:rPr>
          <w:rFonts w:ascii="Arial" w:cs="Arial" w:eastAsia="Arial" w:hAnsi="Arial"/>
          <w:color w:val="1A1A2E"/>
          <w:sz w:val="20"/>
          <w:szCs w:val="20"/>
        </w:rPr>
        <w:t xml:space="preserve">Results of internal compliance monitoring</w:t>
      </w:r>
    </w:p>
    <w:p>
      <w:pPr>
        <w:pStyle w:val="ListParagraph"/>
        <w:numPr>
          <w:ilvl w:val="0"/>
          <w:numId w:val="2"/>
        </w:numPr>
        <w:spacing w:before="40" w:after="40"/>
      </w:pPr>
      <w:r>
        <w:rPr>
          <w:rFonts w:ascii="Arial" w:cs="Arial" w:eastAsia="Arial" w:hAnsi="Arial"/>
          <w:color w:val="1A1A2E"/>
          <w:sz w:val="20"/>
          <w:szCs w:val="20"/>
        </w:rPr>
        <w:t xml:space="preserve">Any incidents, near-misses or SMR filings during the period</w:t>
      </w:r>
    </w:p>
    <w:p>
      <w:pPr>
        <w:spacing w:before="60" w:after="60"/>
      </w:pPr>
      <w:r>
        <w:t xml:space="preserve"/>
      </w:r>
    </w:p>
    <w:p>
      <w:pPr>
        <w:pStyle w:val="Heading2"/>
        <w:spacing w:before="240" w:after="80"/>
      </w:pPr>
      <w:r>
        <w:rPr>
          <w:rFonts w:ascii="Arial" w:cs="Arial" w:eastAsia="Arial" w:hAnsi="Arial"/>
          <w:b/>
          <w:bCs/>
          <w:color w:val="0F1F3D"/>
          <w:sz w:val="24"/>
          <w:szCs w:val="24"/>
        </w:rPr>
        <w:t xml:space="preserve">7.2 Review History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2500"/>
        <w:gridCol w:w="2500"/>
        <w:gridCol w:w="2026"/>
      </w:tblGrid>
      <w:tr>
        <w:tc>
          <w:tcPr>
            <w:tcW w:type="dxa" w:w="2000"/>
            <w:tcBorders>
              <w:top w:val="single" w:color="CCCCCC" w:sz="1"/>
              <w:left w:val="single" w:color="CCCCCC" w:sz="1"/>
              <w:bottom w:val="single" w:color="CCCCCC" w:sz="1"/>
              <w:right w:val="single" w:color="CCCCCC" w:sz="1"/>
            </w:tcBorders>
            <w:shd w:fill="0F1F3D" w:val="clear"/>
            <w:tcMar>
              <w:top w:type="dxa" w:w="80"/>
              <w:left w:type="dxa" w:w="120"/>
              <w:bottom w:type="dxa" w:w="80"/>
              <w:right w:type="dxa" w:w="120"/>
            </w:tcMar>
          </w:tcPr>
          <w:p>
            <w:r>
              <w:rPr>
                <w:rFonts w:ascii="Arial" w:cs="Arial" w:eastAsia="Arial" w:hAnsi="Arial"/>
                <w:b/>
                <w:bCs/>
                <w:color w:val="FFFFFF"/>
                <w:sz w:val="18"/>
                <w:szCs w:val="18"/>
              </w:rPr>
              <w:t xml:space="preserve">Version</w:t>
            </w:r>
          </w:p>
        </w:tc>
        <w:tc>
          <w:tcPr>
            <w:tcW w:type="dxa" w:w="2500"/>
            <w:tcBorders>
              <w:top w:val="single" w:color="CCCCCC" w:sz="1"/>
              <w:left w:val="single" w:color="CCCCCC" w:sz="1"/>
              <w:bottom w:val="single" w:color="CCCCCC" w:sz="1"/>
              <w:right w:val="single" w:color="CCCCCC" w:sz="1"/>
            </w:tcBorders>
            <w:shd w:fill="0F1F3D" w:val="clear"/>
            <w:tcMar>
              <w:top w:type="dxa" w:w="80"/>
              <w:left w:type="dxa" w:w="120"/>
              <w:bottom w:type="dxa" w:w="80"/>
              <w:right w:type="dxa" w:w="120"/>
            </w:tcMar>
          </w:tcPr>
          <w:p>
            <w:r>
              <w:rPr>
                <w:rFonts w:ascii="Arial" w:cs="Arial" w:eastAsia="Arial" w:hAnsi="Arial"/>
                <w:b/>
                <w:bCs/>
                <w:color w:val="FFFFFF"/>
                <w:sz w:val="18"/>
                <w:szCs w:val="18"/>
              </w:rPr>
              <w:t xml:space="preserve">Review Date</w:t>
            </w:r>
          </w:p>
        </w:tc>
        <w:tc>
          <w:tcPr>
            <w:tcW w:type="dxa" w:w="2500"/>
            <w:tcBorders>
              <w:top w:val="single" w:color="CCCCCC" w:sz="1"/>
              <w:left w:val="single" w:color="CCCCCC" w:sz="1"/>
              <w:bottom w:val="single" w:color="CCCCCC" w:sz="1"/>
              <w:right w:val="single" w:color="CCCCCC" w:sz="1"/>
            </w:tcBorders>
            <w:shd w:fill="0F1F3D" w:val="clear"/>
            <w:tcMar>
              <w:top w:type="dxa" w:w="80"/>
              <w:left w:type="dxa" w:w="120"/>
              <w:bottom w:type="dxa" w:w="80"/>
              <w:right w:type="dxa" w:w="120"/>
            </w:tcMar>
          </w:tcPr>
          <w:p>
            <w:r>
              <w:rPr>
                <w:rFonts w:ascii="Arial" w:cs="Arial" w:eastAsia="Arial" w:hAnsi="Arial"/>
                <w:b/>
                <w:bCs/>
                <w:color w:val="FFFFFF"/>
                <w:sz w:val="18"/>
                <w:szCs w:val="18"/>
              </w:rPr>
              <w:t xml:space="preserve">Reviewed By</w:t>
            </w:r>
          </w:p>
        </w:tc>
        <w:tc>
          <w:tcPr>
            <w:tcW w:type="dxa" w:w="2026"/>
            <w:tcBorders>
              <w:top w:val="single" w:color="CCCCCC" w:sz="1"/>
              <w:left w:val="single" w:color="CCCCCC" w:sz="1"/>
              <w:bottom w:val="single" w:color="CCCCCC" w:sz="1"/>
              <w:right w:val="single" w:color="CCCCCC" w:sz="1"/>
            </w:tcBorders>
            <w:shd w:fill="0F1F3D" w:val="clear"/>
            <w:tcMar>
              <w:top w:type="dxa" w:w="80"/>
              <w:left w:type="dxa" w:w="120"/>
              <w:bottom w:type="dxa" w:w="80"/>
              <w:right w:type="dxa" w:w="120"/>
            </w:tcMar>
          </w:tcPr>
          <w:p>
            <w:r>
              <w:rPr>
                <w:rFonts w:ascii="Arial" w:cs="Arial" w:eastAsia="Arial" w:hAnsi="Arial"/>
                <w:b/>
                <w:bCs/>
                <w:color w:val="FFFFFF"/>
                <w:sz w:val="18"/>
                <w:szCs w:val="18"/>
              </w:rPr>
              <w:t xml:space="preserve">Approved By</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A1A2E"/>
                <w:sz w:val="20"/>
                <w:szCs w:val="20"/>
              </w:rPr>
              <w:t xml:space="preserve">v1.0</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[DD/MM/YYYY]</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[AMLCO Name]</w:t>
            </w:r>
          </w:p>
        </w:tc>
        <w:tc>
          <w:tcPr>
            <w:tcW w:type="dxa" w:w="2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[Senior Manager]</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A1A2E"/>
                <w:sz w:val="20"/>
                <w:szCs w:val="20"/>
              </w:rPr>
              <w:t xml:space="preserve">v2.0</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[DD/MM/YYYY]</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[AMLCO Name]</w:t>
            </w:r>
          </w:p>
        </w:tc>
        <w:tc>
          <w:tcPr>
            <w:tcW w:type="dxa" w:w="2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[Senior Manager]</w:t>
            </w:r>
          </w:p>
        </w:tc>
      </w:tr>
    </w:tbl>
    <w:p>
      <w:pPr>
        <w:spacing w:before="60" w:after="60"/>
      </w:pPr>
      <w:r>
        <w:t xml:space="preserve"/>
      </w:r>
    </w:p>
    <w:p>
      <w:pPr>
        <w:pBdr>
          <w:bottom w:val="single" w:color="00A896" w:sz="4" w:space="1"/>
        </w:pBdr>
        <w:spacing w:before="120" w:after="120"/>
      </w:pPr>
      <w:r>
        <w:t xml:space="preserve"/>
      </w:r>
    </w:p>
    <w:p>
      <w:pPr>
        <w:pStyle w:val="Heading1"/>
        <w:spacing w:before="320" w:after="120"/>
      </w:pPr>
      <w:r>
        <w:rPr>
          <w:rFonts w:ascii="Arial" w:cs="Arial" w:eastAsia="Arial" w:hAnsi="Arial"/>
          <w:b/>
          <w:bCs/>
          <w:color w:val="0F1F3D"/>
          <w:sz w:val="28"/>
          <w:szCs w:val="28"/>
        </w:rPr>
        <w:t xml:space="preserve">8. Senior Manager Approval</w:t>
      </w:r>
    </w:p>
    <w:p>
      <w:pPr>
        <w:spacing w:before="60" w:after="100"/>
      </w:pPr>
      <w:r>
        <w:rPr>
          <w:rFonts w:ascii="Arial" w:cs="Arial" w:eastAsia="Arial" w:hAnsi="Arial"/>
          <w:color w:val="1A1A2E"/>
          <w:sz w:val="20"/>
          <w:szCs w:val="20"/>
        </w:rPr>
        <w:t xml:space="preserve">This AML/CTF Program Part A has been reviewed and approved by the governing body of [Firm Name].</w:t>
      </w:r>
    </w:p>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Approved By</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[Full name of senior manager]</w:t>
            </w:r>
          </w:p>
        </w:tc>
      </w:tr>
      <w:tr>
        <w:tc>
          <w:tcPr>
            <w:tcW w:type="dxa" w:w="4513"/>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Title / Position</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[e.g. Principal / Managing Partner]</w:t>
            </w:r>
          </w:p>
        </w:tc>
      </w:tr>
      <w:tr>
        <w:tc>
          <w:tcPr>
            <w:tcW w:type="dxa" w:w="4513"/>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Date of Approval</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[DD/MM/YYYY]</w:t>
            </w:r>
          </w:p>
        </w:tc>
      </w:tr>
      <w:tr>
        <w:tc>
          <w:tcPr>
            <w:tcW w:type="dxa" w:w="4513"/>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Governing Body Notified</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i/>
                <w:iCs/>
                <w:color w:val="94A3B8"/>
                <w:sz w:val="20"/>
                <w:szCs w:val="20"/>
              </w:rPr>
              <w:t xml:space="preserve">[Yes / No / N/A — Sole Trader]</w:t>
            </w:r>
          </w:p>
        </w:tc>
      </w:tr>
      <w:tr>
        <w:tc>
          <w:tcPr>
            <w:tcW w:type="dxa" w:w="4513"/>
            <w:tcBorders>
              <w:top w:val="single" w:color="CCCCCC" w:sz="1"/>
              <w:left w:val="single" w:color="CCCCCC" w:sz="1"/>
              <w:bottom w:val="single" w:color="CCCCCC" w:sz="1"/>
              <w:right w:val="single" w:color="CCCCCC" w:sz="1"/>
            </w:tcBorders>
            <w:shd w:fill="F8F7F4" w:val="clear"/>
            <w:tcMar>
              <w:top w:type="dxa" w:w="80"/>
              <w:left w:type="dxa" w:w="120"/>
              <w:bottom w:type="dxa" w:w="80"/>
              <w:right w:type="dxa" w:w="120"/>
            </w:tcMar>
          </w:tcPr>
          <w:p>
            <w:r>
              <w:rPr>
                <w:rFonts w:ascii="Arial" w:cs="Arial" w:eastAsia="Arial" w:hAnsi="Arial"/>
                <w:b/>
                <w:bCs/>
                <w:color w:val="0F1F3D"/>
                <w:sz w:val="20"/>
                <w:szCs w:val="20"/>
              </w:rPr>
              <w:t xml:space="preserve">Signature</w:t>
            </w:r>
          </w:p>
        </w:tc>
        <w:tc>
          <w:tcPr>
            <w:tcW w:type="dxa" w:w="4513"/>
            <w:tcBorders>
              <w:top w:val="single" w:color="CCCCCC" w:sz="1"/>
              <w:left w:val="single" w:color="CCCCCC" w:sz="1"/>
              <w:bottom w:val="single" w:color="CCCCCC" w:sz="1"/>
              <w:right w:val="single" w:color="CCCCCC" w:sz="1"/>
            </w:tcBorders>
            <w:tcMar>
              <w:top w:type="dxa" w:w="200"/>
              <w:left w:type="dxa" w:w="120"/>
              <w:bottom w:type="dxa" w:w="200"/>
              <w:right w:type="dxa" w:w="120"/>
            </w:tcMar>
          </w:tcPr>
          <w:p>
            <w:r>
              <w:rPr>
                <w:rFonts w:ascii="Arial" w:cs="Arial" w:eastAsia="Arial" w:hAnsi="Arial"/>
                <w:sz w:val="20"/>
                <w:szCs w:val="20"/>
              </w:rPr>
              <w:t xml:space="preserve"> </w:t>
            </w:r>
          </w:p>
        </w:tc>
      </w:tr>
    </w:tbl>
    <w:p>
      <w:pPr>
        <w:spacing w:before="60" w:after="60"/>
      </w:pPr>
      <w:r>
        <w:t xml:space="preserve"/>
      </w:r>
    </w:p>
    <w:p>
      <w:pPr>
        <w:spacing w:before="60" w:after="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E0F7F4" w:val="clear"/>
            <w:tcMar>
              <w:top w:type="dxa" w:w="120"/>
              <w:left w:type="dxa" w:w="160"/>
              <w:bottom w:type="dxa" w:w="120"/>
              <w:right w:type="dxa" w:w="160"/>
            </w:tcMar>
          </w:tcPr>
          <w:p>
            <w:r>
              <w:rPr>
                <w:rFonts w:ascii="Arial" w:hAnsi="Arial"/>
                <w:b/>
                <w:caps/>
                <w:color w:val="00A896"/>
                <w:sz w:val="18"/>
              </w:rPr>
              <w:t>Important Notice</w:t>
            </w:r>
          </w:p>
          <w:p>
            <w:r>
              <w:rPr>
                <w:rFonts w:ascii="Arial" w:hAnsi="Arial"/>
                <w:color w:val="1A1A2E"/>
                <w:sz w:val="20"/>
              </w:rPr>
              <w:t>This template has been prepared by SimpleAML (Click Seed Pty Ltd ABN 87 656 256 567) as a starting point for Australian accounting practices preparing their AML/CTF Program under Tranche 2 of the AML/CTF Act.</w:t>
            </w:r>
          </w:p>
          <w:p>
            <w:r>
              <w:rPr>
                <w:rFonts w:ascii="Arial" w:hAnsi="Arial"/>
                <w:color w:val="1A1A2E"/>
                <w:sz w:val="20"/>
              </w:rPr>
            </w:r>
          </w:p>
          <w:p>
            <w:r>
              <w:rPr>
                <w:rFonts w:ascii="Arial" w:hAnsi="Arial"/>
                <w:color w:val="1A1A2E"/>
                <w:sz w:val="20"/>
              </w:rPr>
              <w:t>This template is a practical starting point only. It does not constitute legal advice. Your completed AML/CTF Program must reflect the specific circumstances of your practice, your designated services, and your actual risk profile.</w:t>
            </w:r>
          </w:p>
          <w:p>
            <w:r>
              <w:rPr>
                <w:rFonts w:ascii="Arial" w:hAnsi="Arial"/>
                <w:color w:val="1A1A2E"/>
                <w:sz w:val="20"/>
              </w:rPr>
            </w:r>
          </w:p>
          <w:p>
            <w:r>
              <w:rPr>
                <w:rFonts w:ascii="Arial" w:hAnsi="Arial"/>
                <w:color w:val="1A1A2E"/>
                <w:sz w:val="20"/>
              </w:rPr>
              <w:t>You are responsible for ensuring your AML/CTF Program meets AUSTRAC requirements. Seek independent legal advice where required.</w:t>
            </w:r>
          </w:p>
          <w:p>
            <w:r>
              <w:rPr>
                <w:rFonts w:ascii="Arial" w:hAnsi="Arial"/>
                <w:color w:val="1A1A2E"/>
                <w:sz w:val="20"/>
              </w:rPr>
            </w:r>
          </w:p>
          <w:p>
            <w:r>
              <w:rPr>
                <w:rFonts w:ascii="Arial" w:hAnsi="Arial"/>
                <w:color w:val="1A1A2E"/>
                <w:sz w:val="20"/>
              </w:rPr>
              <w:t>For more information and compliance tools: simpleaml.com.au</w:t>
            </w:r>
          </w:p>
        </w:tc>
      </w:tr>
    </w:tbl>
    <w:sectPr>
      <w:headerReference w:type="default" r:id="rId6"/>
      <w:footerReference w:type="default" r:id="rId7"/>
      <w:pgSz w:w="11906" w:h="16838"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4E2DC" w:sz="2" w:space="1"/>
      </w:pBdr>
      <w:spacing w:before="0" w:after="0"/>
    </w:pPr>
    <w:r>
      <w:t xml:space="preserve"/>
    </w:r>
  </w:p>
  <w:p>
    <w:pPr>
      <w:tabs>
        <w:tab w:val="right" w:pos="9026"/>
      </w:tabs>
      <w:spacing w:before="60" w:after="0"/>
    </w:pPr>
    <w:r>
      <w:rPr>
        <w:rFonts w:ascii="Arial" w:cs="Arial" w:eastAsia="Arial" w:hAnsi="Arial"/>
        <w:color w:val="94A3B8"/>
        <w:sz w:val="16"/>
        <w:szCs w:val="16"/>
      </w:rPr>
      <w:t xml:space="preserve">Confidential — AML/CTF Program Part A</w:t>
    </w:r>
    <w:r>
      <w:rPr>
        <w:rFonts w:ascii="Arial" w:cs="Arial" w:eastAsia="Arial" w:hAnsi="Arial"/>
        <w:color w:val="94A3B8"/>
        <w:sz w:val="16"/>
        <w:szCs w:val="16"/>
      </w:rPr>
      <w:t xml:space="preserve">	Page </w:t>
    </w:r>
    <w:fldSimple w:instr="[object Objec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86"/>
      <w:tblBorders>
        <w:top w:val="single" w:color="auto" w:sz="4"/>
        <w:left w:val="single" w:color="auto" w:sz="4"/>
        <w:bottom w:val="single" w:color="auto" w:sz="4"/>
        <w:right w:val="single" w:color="auto" w:sz="4"/>
        <w:insideH w:val="single" w:color="auto" w:sz="4"/>
        <w:insideV w:val="single" w:color="auto" w:sz="4"/>
      </w:tblBorders>
    </w:tblPr>
    <w:tblGrid>
      <w:gridCol w:w="6386"/>
      <w:gridCol w:w="3000"/>
    </w:tblGrid>
    <w:tr>
      <w:tc>
        <w:tcPr>
          <w:tcW w:type="dxa" w:w="6386"/>
          <w:tcBorders>
            <w:top w:val="none" w:color="FFFFFF" w:sz="0"/>
            <w:left w:val="none" w:color="FFFFFF" w:sz="0"/>
            <w:bottom w:val="none" w:color="FFFFFF" w:sz="0"/>
            <w:right w:val="none" w:color="FFFFFF" w:sz="0"/>
          </w:tcBorders>
          <w:vAlign w:val="center"/>
        </w:tcPr>
        <w:p>
          <w:r>
            <w:rPr>
              <w:rFonts w:ascii="Arial" w:cs="Arial" w:eastAsia="Arial" w:hAnsi="Arial"/>
              <w:b/>
              <w:bCs/>
              <w:color w:val="0F1F3D"/>
              <w:sz w:val="16"/>
              <w:szCs w:val="16"/>
            </w:rPr>
            <w:t xml:space="preserve">AML/CTF Program — Part A (General)</w:t>
          </w:r>
        </w:p>
      </w:tc>
      <w:tc>
        <w:tcPr>
          <w:tcW w:type="dxa" w:w="3000"/>
          <w:tcBorders>
            <w:top w:val="none" w:color="FFFFFF" w:sz="0"/>
            <w:left w:val="none" w:color="FFFFFF" w:sz="0"/>
            <w:bottom w:val="none" w:color="FFFFFF" w:sz="0"/>
            <w:right w:val="none" w:color="FFFFFF" w:sz="0"/>
          </w:tcBorders>
          <w:vAlign w:val="center"/>
        </w:tcPr>
        <w:p>
          <w:pPr>
            <w:jc w:val="right"/>
          </w:pPr>
          <w:r>
            <w:rPr>
              <w:rFonts w:ascii="Arial" w:cs="Arial" w:eastAsia="Arial" w:hAnsi="Arial"/>
              <w:color w:val="00A896"/>
              <w:sz w:val="16"/>
              <w:szCs w:val="16"/>
            </w:rPr>
            <w:t xml:space="preserve">simpleaml.com.au</w:t>
          </w:r>
        </w:p>
      </w:tc>
    </w:tr>
  </w:tbl>
  <w:p>
    <w:pPr>
      <w:pBdr>
        <w:bottom w:val="single" w:color="00A896" w:sz="4" w:space="1"/>
      </w:pBdr>
      <w:spacing w:before="60" w:after="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20"/>
      <w:outlineLvl w:val="0"/>
    </w:pPr>
    <w:rPr>
      <w:rFonts w:ascii="Arial" w:cs="Arial" w:eastAsia="Arial" w:hAnsi="Arial"/>
      <w:b/>
      <w:bCs/>
      <w:color w:val="0F1F3D"/>
      <w:sz w:val="28"/>
      <w:szCs w:val="28"/>
    </w:rPr>
  </w:style>
  <w:style w:type="paragraph" w:styleId="Heading2">
    <w:name w:val="Heading 2"/>
    <w:basedOn w:val="Normal"/>
    <w:next w:val="Normal"/>
    <w:qFormat/>
    <w:pPr>
      <w:spacing w:before="240" w:after="80"/>
      <w:outlineLvl w:val="1"/>
    </w:pPr>
    <w:rPr>
      <w:rFonts w:ascii="Arial" w:cs="Arial" w:eastAsia="Arial" w:hAnsi="Arial"/>
      <w:b/>
      <w:bCs/>
      <w:color w:val="0F1F3D"/>
      <w:sz w:val="24"/>
      <w:szCs w:val="24"/>
    </w:rPr>
  </w:style>
  <w:style w:type="paragraph" w:styleId="Heading3">
    <w:name w:val="Heading 3"/>
    <w:basedOn w:val="Normal"/>
    <w:next w:val="Normal"/>
    <w:qFormat/>
    <w:pPr>
      <w:spacing w:before="180" w:after="60"/>
      <w:outlineLvl w:val="2"/>
    </w:pPr>
    <w:rPr>
      <w:rFonts w:ascii="Arial" w:cs="Arial" w:eastAsia="Arial" w:hAnsi="Arial"/>
      <w:b/>
      <w:bCs/>
      <w:color w:val="00A896"/>
      <w:sz w:val="22"/>
      <w:szCs w:val="2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2026-03-17T20:32:05.963Z</dcterms:created>
  <dcterms:modified xsi:type="dcterms:W3CDTF">2026-03-17T20:32:05.964Z</dcterms:modified>
</cp:coreProperties>
</file>

<file path=docProps/custom.xml><?xml version="1.0" encoding="utf-8"?>
<Properties xmlns="http://schemas.openxmlformats.org/officeDocument/2006/custom-properties" xmlns:vt="http://schemas.openxmlformats.org/officeDocument/2006/docPropsVTypes"/>
</file>