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F3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AML/CTF Program</w:t>
            </w:r>
          </w:p>
          <w:p>
            <w:pPr>
              <w:spacing w:before="0" w:after="1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Part B — KYC/CDD Procedures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E0F7F4"/>
                <w:sz w:val="22"/>
                <w:szCs w:val="22"/>
              </w:rPr>
              <w:t xml:space="preserve">Customer Identification, Due Diligence &amp; Ongoing Monitoring</w:t>
            </w:r>
          </w:p>
          <w:p>
            <w:pPr>
              <w:spacing w:before="160" w:after="0"/>
            </w:pPr>
            <w:r>
              <w:rPr>
                <w:rFonts w:ascii="Arial" w:cs="Arial" w:eastAsia="Arial" w:hAnsi="Arial"/>
                <w:i/>
                <w:iCs/>
                <w:color w:val="94A3B8"/>
                <w:sz w:val="16"/>
                <w:szCs w:val="16"/>
              </w:rPr>
              <w:t xml:space="preserve">Prepared under the Anti-Money Laundering and Counter-Terrorism Financing Act 2006 (Cth) as amended by the AML/CTF Amendment Act 2024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Firm Details — Complete Before Use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Replace all [bracketed fields] throughout this document with your firm's specific information.</w:t>
            </w:r>
          </w:p>
          <w:p>
            <w:pPr>
              <w:spacing w:before="40" w:after="40"/>
            </w:pPr>
            <w:r>
              <w:rPr>
                <w:rFonts w:ascii="Arial" w:hAnsi="Arial"/>
                <w:color w:val="1A1A2E"/>
                <w:sz w:val="20"/>
              </w:rPr>
              <w:t>This template is most suitable for sole practitioners and smaller firms where one person mainly manages AML/CTF compliance.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Firm / Practice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legal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ABN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ABN]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AMLCO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Adoption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Version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Version 1.0]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1. Purpose &amp; Scope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document constitutes Part B of the AML/CTF Program for [Firm Name]. It sets out the customer identification, due diligence and ongoing monitoring procedures that must be followed when providing designated services.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These procedures apply to all clients and must be completed before providing any designated service.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2. Customer Identification Procedure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2.1 When CDD Must Be Completed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Customer due diligence (CDD) must be completed: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Before providing a designated service for the first time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When the client's risk profile changes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When information held about the client is no longer reliable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At the scheduled review date for the client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When requested by the AMLCO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2.2 Identity Verification — Individuals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individual clients, the following must be verified: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Full Legal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[Verified via DVS or original document]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[Verified via DVS or original document]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Residential Address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[Current address obtained and verified]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Identity Document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[Passport / Driver's Licence / Medicare Card]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DVS Verification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[Yes / No — Date of verification: 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Verification Provider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NameScan — namescan.io]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2.3 Identity Verification — Companies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company clients, the following must be verified: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Full legal name and ACN/ABN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Registered address and principal place of business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directors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beneficial owners (persons with 25% or more ownership or control)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Nature and purpose of the company's business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2.4 Identity Verification — Trusts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trust clients, the following must be verified: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Full name of the trust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the trustee(s)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the settlor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of all beneficial owners with 25% or more interest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copy of the trust deed must be obtained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3. Risk Rating Procedure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3.1 Risk Factors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Each client must be assigned a risk rating based on the following factors: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Factor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Lower Risk Indicators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1F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Higher Risk Indicators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Client type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Individual, small SME, long-standing client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Complex trust, shell company, new client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Jurisdiction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Australia, NZ, UK, US, Singapore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FATF high-risk, DFAT sanctioned, tax haven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Industry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Standard business, professional services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Digital assets, cash-intensive, bullion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Transaction type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Regular business transactions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Large cash, unusual patterns, third-party payments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PEP / Sanctions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59669"/>
                <w:sz w:val="20"/>
                <w:szCs w:val="20"/>
              </w:rPr>
              <w:t xml:space="preserve">No PEP connection, clear sanctions screen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DC2626"/>
                <w:sz w:val="20"/>
                <w:szCs w:val="20"/>
              </w:rPr>
              <w:t xml:space="preserve">PEP connection, adverse media, sanctions hit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3.2 CDD Requirements by Risk Level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00A896"/>
                <w:sz w:val="18"/>
                <w:szCs w:val="18"/>
              </w:rPr>
              <w:t xml:space="preserve">Low Risk — Standard CDD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DVS identity verification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and sanctions screening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Associates screening — optional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Review frequency: every 3 years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7706" w:sz="1"/>
              <w:left w:val="thick" w:color="D97706" w:sz="12"/>
              <w:bottom w:val="single" w:color="D97706" w:sz="1"/>
              <w:right w:val="single" w:color="D97706" w:sz="1"/>
            </w:tcBorders>
            <w:shd w:fill="FFFBE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D97706"/>
                <w:sz w:val="18"/>
                <w:szCs w:val="18"/>
              </w:rPr>
              <w:t xml:space="preserve">Medium Risk — Standard CDD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DVS identity verification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and sanctions screening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Associates screening — recommended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Review frequency: every 2 years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C2626" w:sz="1"/>
              <w:left w:val="thick" w:color="DC2626" w:sz="12"/>
              <w:bottom w:val="single" w:color="DC2626" w:sz="1"/>
              <w:right w:val="single" w:color="DC2626" w:sz="1"/>
            </w:tcBorders>
            <w:shd w:fill="FEF2F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DC2626"/>
                <w:sz w:val="18"/>
                <w:szCs w:val="18"/>
              </w:rPr>
              <w:t xml:space="preserve">High Risk — Enhanced CDD (ECDD)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DVS identity verification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PEP and sanctions screening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Associates screening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Source of funds / wealth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Reason for proceeding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Senior manager sign-off — required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Review frequency: annually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4. PEP &amp; Sanctions Screening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4.1 Screening Requirement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clients and beneficial owners must be screened for Politically Exposed Person (PEP) status and against relevant sanctions lists before providing a designated service and at each review.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[Firm Name] uses the following screening provider: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Screening Provider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NameScan — namescan.io]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Lists Screened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[DFAT, UN Security Council, OFAC, PEP database, Adverse Media]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Screening Frequency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On onboarding and at each scheduled review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Responsible Officer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[AMLCO Name]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4.2 PEP Definition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Politically Exposed Person (PEP) is an individual who holds, or has held, a prominent public position or function. This includes: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Heads of state, government ministers, senior politicians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judicial or military officials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executives of state-owned enterprises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officials of political parties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Immediate family members and close associates of the above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4.3 PEP Procedure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If a client is identified as a PEP: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matter must be escalated to the AMLCO immediately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Enhanced CDD must be conducted regardless of other risk factors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Senior manager approval is required before providing any service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relationship must be reviewed at least annually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decision to proceed (or not) must be documented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5. Beneficial Ownership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For non-individual clients (companies, trusts, partnerships), [Firm Name] must identify and verify all beneficial owners — being persons who own or control 25% or more of the entity.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Beneficial ownership records must include: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Full legal name of each beneficial owner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Date of birth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Percentage ownership or nature of control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Verification of identity (DVS)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475569"/>
          <w:sz w:val="20"/>
          <w:szCs w:val="20"/>
        </w:rPr>
        <w:t xml:space="preserve">[For trusts, a copy of the trust deed must be obtained and retained]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6. Ongoing Monitoring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6.1 Review Schedule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client risk profiles must be reviewed at the following frequency: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High Risk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Annually (every 12 months)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Medium Risk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Every 2 years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Low Risk clients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Every 3 years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Any risk level — trigger review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When unusual activity is detected, client circumstances change, or AMLCO directs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F1F3D"/>
          <w:sz w:val="24"/>
          <w:szCs w:val="24"/>
        </w:rPr>
        <w:t xml:space="preserve">6.2 Triggers for Earlier Review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client review must be conducted immediately if: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client's risk profile changes materially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Unusual or suspicious transactions are identified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PEP connection is identified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 sanctions hit is identified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client provides new information that affects their risk rating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AMLCO or a senior manager directs a review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7. Record Keeping</w:t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All CDD records must be retained for a minimum of 7 years from the date the record was made or the business relationship ended, whichever is later.</w:t>
      </w:r>
    </w:p>
    <w:p>
      <w:pPr>
        <w:spacing w:before="60" w:after="6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Records to be retained for each client include: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Identity verification documents or DVS transaction records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PEP and sanctions screening results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Risk rating and rationale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Beneficial ownership records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Source of funds documentation (high risk clients)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Review history and notes</w:t>
      </w:r>
    </w:p>
    <w:p>
      <w:pPr>
        <w:spacing w:before="60" w:after="60"/>
      </w:pPr>
      <w:r>
        <w:t xml:space="preserve"/>
      </w:r>
    </w:p>
    <w:p>
      <w:r>
        <w:rPr>
          <w:rFonts w:ascii="Arial" w:hAnsi="Arial"/>
          <w:color w:val="1A1A2E"/>
          <w:sz w:val="20"/>
        </w:rPr>
        <w:t>[Firm Name] uses SimpleAML (simpleaml.com.au) to help keep client CDD records.</w:t>
      </w:r>
    </w:p>
    <w:p>
      <w:pPr/>
      <w:r>
        <w:rPr>
          <w:rFonts w:ascii="Arial" w:hAnsi="Arial"/>
          <w:color w:val="1A1A2E"/>
          <w:sz w:val="20"/>
        </w:rPr>
        <w:t>SimpleAML stores records locally in your browser on your device. It does not currently provide multi-user cloud sync. You should export and back up your records regularly.</w:t>
      </w:r>
    </w:p>
    <w:p>
      <w:pPr>
        <w:spacing w:before="60" w:after="60"/>
      </w:pPr>
      <w:r>
        <w:t xml:space="preserve"/>
      </w:r>
    </w:p>
    <w:p>
      <w:pPr>
        <w:pBdr>
          <w:bottom w:val="single" w:color="00A896" w:sz="4" w:space="1"/>
        </w:pBdr>
        <w:spacing w:before="120" w:after="120"/>
      </w:pPr>
      <w:r>
        <w:t xml:space="preserv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F1F3D"/>
          <w:sz w:val="28"/>
          <w:szCs w:val="28"/>
        </w:rPr>
        <w:t xml:space="preserve">8. Approval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[Senior manager full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Title / Position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Principal / Managing Partner]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Date of Approval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1F3D"/>
                <w:sz w:val="20"/>
                <w:szCs w:val="20"/>
              </w:rPr>
              <w:t xml:space="preserve">Version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[e.g. Version 1.0]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A896" w:sz="1"/>
              <w:left w:val="thick" w:color="00A896" w:sz="12"/>
              <w:bottom w:val="single" w:color="00A896" w:sz="1"/>
              <w:right w:val="single" w:color="00A896" w:sz="1"/>
            </w:tcBorders>
            <w:shd w:fill="E0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hAnsi="Arial"/>
                <w:b/>
                <w:caps/>
                <w:color w:val="00A896"/>
                <w:sz w:val="18"/>
              </w:rPr>
              <w:t>Important Notice</w:t>
            </w:r>
          </w:p>
          <w:p>
            <w:r>
              <w:rPr>
                <w:rFonts w:ascii="Arial" w:hAnsi="Arial"/>
                <w:color w:val="1A1A2E"/>
                <w:sz w:val="20"/>
              </w:rPr>
              <w:t>This template has been prepared by SimpleAML (Click Seed Pty Ltd ABN 87 656 256 567) as a starting point for Australian accounting practices preparing their AML/CTF obligations under Tranche 2 of the AML/CTF Act.</w:t>
            </w:r>
          </w:p>
          <w:p>
            <w:r>
              <w:rPr/>
            </w:r>
          </w:p>
          <w:p>
            <w:r>
              <w:rPr>
                <w:rFonts w:ascii="Arial" w:hAnsi="Arial"/>
                <w:color w:val="1A1A2E"/>
                <w:sz w:val="20"/>
              </w:rPr>
              <w:t>This template is a practical starting point only. It does not constitute legal advice. Your completed documents must reflect the specific circumstances of your practice, your designated services, and your actual risk profile.</w:t>
            </w:r>
          </w:p>
          <w:p>
            <w:r>
              <w:rPr/>
            </w:r>
          </w:p>
          <w:p>
            <w:r>
              <w:rPr>
                <w:rFonts w:ascii="Arial" w:hAnsi="Arial"/>
                <w:color w:val="1A1A2E"/>
                <w:sz w:val="20"/>
              </w:rPr>
              <w:t>You are responsible for ensuring your documents meet AUSTRAC requirements. Seek independent legal advice where required.</w:t>
            </w:r>
          </w:p>
          <w:p>
            <w:r>
              <w:rPr>
                <w:rFonts w:ascii="Arial" w:hAnsi="Arial"/>
                <w:color w:val="1A1A2E"/>
                <w:sz w:val="20"/>
              </w:rPr>
            </w:r>
          </w:p>
          <w:p>
            <w:r>
              <w:rPr>
                <w:rFonts w:ascii="Arial" w:hAnsi="Arial"/>
                <w:color w:val="1A1A2E"/>
                <w:sz w:val="20"/>
              </w:rPr>
              <w:t>For more information and compliance tools: simpleaml.com.au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2DC" w:sz="2" w:space="1"/>
      </w:pBdr>
      <w:spacing w:before="0" w:after="0"/>
    </w:pPr>
    <w:r>
      <w:t xml:space="preserve"/>
    </w:r>
  </w:p>
  <w:p>
    <w:pPr>
      <w:tabs>
        <w:tab w:val="right" w:pos="9026"/>
      </w:tabs>
      <w:spacing w:before="60" w:after="0"/>
    </w:pPr>
    <w:r>
      <w:rPr>
        <w:rFonts w:ascii="Arial" w:cs="Arial" w:eastAsia="Arial" w:hAnsi="Arial"/>
        <w:color w:val="94A3B8"/>
        <w:sz w:val="16"/>
        <w:szCs w:val="16"/>
      </w:rPr>
      <w:t xml:space="preserve">Confidential — AML/CTF Program Part B</w:t>
    </w:r>
    <w:r>
      <w:rPr>
        <w:rFonts w:ascii="Arial" w:cs="Arial" w:eastAsia="Arial" w:hAnsi="Arial"/>
        <w:color w:val="94A3B8"/>
        <w:sz w:val="16"/>
        <w:szCs w:val="16"/>
      </w:rPr>
      <w:t xml:space="preserve">	Page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8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386"/>
      <w:gridCol w:w="3000"/>
    </w:tblGrid>
    <w:tr>
      <w:tc>
        <w:tcPr>
          <w:tcW w:type="dxa" w:w="638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0F1F3D"/>
              <w:sz w:val="16"/>
              <w:szCs w:val="16"/>
            </w:rPr>
            <w:t xml:space="preserve">AML/CTF Program — Part B (KYC/CDD Procedures)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00A896"/>
              <w:sz w:val="16"/>
              <w:szCs w:val="16"/>
            </w:rPr>
            <w:t xml:space="preserve">simpleaml.com.au</w:t>
          </w:r>
        </w:p>
      </w:tc>
    </w:tr>
  </w:tbl>
  <w:p>
    <w:pPr>
      <w:pBdr>
        <w:bottom w:val="single" w:color="00A896" w:sz="4" w:space="1"/>
      </w:pBdr>
      <w:spacing w:before="6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F1F3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F1F3D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00A896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2026-03-17T20:39:23.381Z</dcterms:created>
  <dcterms:modified xsi:type="dcterms:W3CDTF">2026-03-17T20:39:23.382Z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