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Compliance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Staff Training Policy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AML/CTF Training Requirements &amp; Procedures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Required under the Anti-Money Laundering and Counter-Terrorism Financing Act 2006 (Cth) as amended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Adoption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Purpose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>This policy sets out the AML/CTF training requirements for [Firm Name]. All relevant staff must complete training before providing designated services and annually thereafter. This template is most suitable for sole practitioners and smaller firms where one person mainly manages AML/CTF compliance.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Maintaining staff training records is a legal requirement under the AML/CTF Act. Failure to maintain adequate training is a breach of the firm's AML/CTF Program obligations.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Who Must Be Trained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AML/CTF training is mandatory for all staff who: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Provide or assist in the provision of designated services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Are involved in client onboarding or identity verification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Are responsible for identifying or reporting suspicious matters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Have compliance or oversight responsibilities (including the AMLCO)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[If uncertain whether a staff member requires training, consult the AMLCO. It is better to train all staff than to leave someone untrained who should have been.]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Training Requirements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3.1 Initial Training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relevant staff must complete initial AML/CTF training: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providing any designated service for the first time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Within 30 days of commencing employment in a relevant role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3.2 Annual Training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relevant staff must complete refresher training annually — before 1 July each year.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3.3 Required Training Topics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must cover the following topics: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526"/>
        <w:gridCol w:w="30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Who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1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Nature of money laundering, terrorism financing and proliferation financing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2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Our AML/CTF Program, policies and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3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Customer due diligence (CDD) — identification and verification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4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How to identify and escalate suspicious matters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5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Suspicious Matter Report (SMR) filing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AMLCO and reporting officer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6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Threshold Transaction Report (TTR) obligations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7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tipping-off prohibition and consequences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8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High-risk jurisdictions and enhanced CDD requirements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9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identification and escalation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10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Record keeping and retention requirements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Approved Training Providers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[Firm Name] recommends the following training providers for AML/CTF training: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1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STEP — Certificate in Anti-Money Laundering — step.org]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2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See simpleaml.com.au/training-providers for full list]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3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[Add additional approved providers as required]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may also complete training through other providers, subject to AMLCO approval that the content meets the requirements in Section 3.3 above.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Training Records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>All training completions must be recorded in the SimpleAML Training Register (simpleaml.com.au) or equivalent system.</w:t>
      </w:r>
    </w:p>
    <w:p>
      <w:pPr/>
      <w:r>
        <w:t>SimpleAML stores records locally in your browser on your device. It does not currently provide multi-user cloud sync. You should export and back up your records regularly.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member's full name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module or course completed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Date of completion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>Certificate of completion or training reference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Expiry date (if applicable)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records must be retained for a minimum of 7 years.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6. Non-Compliance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who fail to complete required training by the due date will be: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Notified in writing by the AMLCO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Restricted from providing designated services until training is completed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Subject to performance management procedures if training remains incomplete after 14 days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AMLCO must report training non-compliance to the governing body at the next scheduled meeting.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7.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(AMLCO)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(Senior Manager)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/>
            <w:r>
              <w:rPr>
                <w:b/>
              </w:rPr>
              <w:t>Important Notice</w:t>
            </w:r>
          </w:p>
          <w:p>
            <w:r>
              <w:t>This template has been prepared by SimpleAML (Click Seed Pty Ltd ABN 87 656 256 567) as a practical starting point for Australian accounting practices preparing their AML/CTF obligations under Tranche 2 of the AML/CTF Act.</w:t>
            </w:r>
          </w:p>
          <w:p>
            <w:r>
              <w:t>This template is most suitable for sole practitioners and smaller firms where one person mainly manages AML/CTF compliance.</w:t>
            </w:r>
          </w:p>
          <w:p>
            <w:r>
              <w:t>This template does not constitute legal advice. Your completed documents must reflect the specific circumstances of your practice. Seek independent legal advice where required.</w:t>
            </w:r>
          </w:p>
          <w:p>
            <w:r>
              <w:t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Staff Training Policy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AML/CTF Staff Training Policy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2026-03-17T20:39:23.401Z</dcterms:created>
  <dcterms:modified xsi:type="dcterms:W3CDTF">2026-03-17T20:39:23.401Z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